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b/>
          <w:color w:val="2E74B5"/>
          <w:sz w:val="20"/>
        </w:rPr>
        <w:t>PROCESSDATAAI</w:t>
      </w:r>
    </w:p>
    <w:p>
      <w:pPr>
        <w:pStyle w:val="Title"/>
      </w:pPr>
      <w:r>
        <w:t>Document Ingestion and</w:t>
        <w:br/>
        <w:t>Semantic Search POC</w:t>
      </w:r>
    </w:p>
    <w:p>
      <w:pPr>
        <w:pStyle w:val="Subtitle"/>
      </w:pPr>
      <w:r>
        <w:t>A developer handout for understanding, running, rebuilding, and extending the application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E8EEF5"/>
          </w:tcPr>
          <w:p>
            <w:pPr>
              <w:pStyle w:val="CalloutText"/>
            </w:pPr>
            <w:r>
              <w:rPr>
                <w:b/>
                <w:color w:val="0B2545"/>
              </w:rPr>
              <w:t xml:space="preserve">At a glance  </w:t>
            </w:r>
            <w:r>
              <w:t>A .NET 10 console application reads local PDFs, normalizes extracted text into Microsoft Data Ingestion documents, chunks that content, generates embeddings through Azure OpenAI or Ollama, stores vectors in memory, and returns the three most semantically similar chunks for a question.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vAlign w:val="center"/>
            <w:tcMar>
              <w:top w:w="90" w:type="dxa"/>
              <w:start w:w="120" w:type="dxa"/>
              <w:bottom w:w="90" w:type="dxa"/>
              <w:end w:w="120" w:type="dxa"/>
            </w:tcMar>
          </w:tcPr>
          <w:p>
            <w:pPr>
              <w:spacing w:after="0"/>
            </w:pPr>
            <w:r>
              <w:rPr>
                <w:b/>
                <w:color w:val="0B2545"/>
              </w:rPr>
              <w:t>Audience</w:t>
            </w:r>
          </w:p>
        </w:tc>
        <w:tc>
          <w:tcPr>
            <w:tcW w:type="dxa" w:w="6760"/>
            <w:shd w:fill="E8EEF5"/>
            <w:vAlign w:val="center"/>
            <w:tcMar>
              <w:top w:w="90" w:type="dxa"/>
              <w:start w:w="120" w:type="dxa"/>
              <w:bottom w:w="90" w:type="dxa"/>
              <w:end w:w="120" w:type="dxa"/>
            </w:tcMar>
          </w:tcPr>
          <w:p>
            <w:pPr>
              <w:spacing w:after="0"/>
            </w:pPr>
            <w:r>
              <w:rPr>
                <w:b/>
                <w:color w:val="0B2545"/>
              </w:rPr>
              <w:t>Purpose</w:t>
            </w:r>
          </w:p>
        </w:tc>
      </w:tr>
      <w:tr>
        <w:trPr>
          <w:cantSplit/>
        </w:trPr>
        <w:tc>
          <w:tcPr>
            <w:tcW w:type="dxa" w:w="2600"/>
            <w:vAlign w:val="center"/>
            <w:tcMar>
              <w:top w:w="90" w:type="dxa"/>
              <w:start w:w="120" w:type="dxa"/>
              <w:bottom w:w="90" w:type="dxa"/>
              <w:end w:w="120" w:type="dxa"/>
            </w:tcMar>
          </w:tcPr>
          <w:p>
            <w:pPr>
              <w:spacing w:after="0" w:line="264" w:lineRule="auto"/>
            </w:pPr>
            <w:r>
              <w:t>Developer new to the Microsoft AI ingestion stack</w:t>
            </w:r>
          </w:p>
        </w:tc>
        <w:tc>
          <w:tcPr>
            <w:tcW w:type="dxa" w:w="6760"/>
            <w:vAlign w:val="center"/>
            <w:tcMar>
              <w:top w:w="90" w:type="dxa"/>
              <w:start w:w="120" w:type="dxa"/>
              <w:bottom w:w="90" w:type="dxa"/>
              <w:end w:w="120" w:type="dxa"/>
            </w:tcMar>
          </w:tcPr>
          <w:p>
            <w:pPr>
              <w:spacing w:after="0" w:line="264" w:lineRule="auto"/>
            </w:pPr>
            <w:r>
              <w:t>Understand the design and reproduce the implementation without prior library knowledge.</w:t>
            </w:r>
          </w:p>
        </w:tc>
      </w:tr>
      <w:tr>
        <w:trPr>
          <w:cantSplit/>
        </w:trPr>
        <w:tc>
          <w:tcPr>
            <w:tcW w:type="dxa" w:w="2600"/>
            <w:vAlign w:val="center"/>
            <w:tcMar>
              <w:top w:w="90" w:type="dxa"/>
              <w:start w:w="120" w:type="dxa"/>
              <w:bottom w:w="90" w:type="dxa"/>
              <w:end w:w="120" w:type="dxa"/>
            </w:tcMar>
          </w:tcPr>
          <w:p>
            <w:pPr>
              <w:spacing w:after="0" w:line="264" w:lineRule="auto"/>
            </w:pPr>
            <w:r>
              <w:t>POC maintainer</w:t>
            </w:r>
          </w:p>
        </w:tc>
        <w:tc>
          <w:tcPr>
            <w:tcW w:type="dxa" w:w="6760"/>
            <w:vAlign w:val="center"/>
            <w:tcMar>
              <w:top w:w="90" w:type="dxa"/>
              <w:start w:w="120" w:type="dxa"/>
              <w:bottom w:w="90" w:type="dxa"/>
              <w:end w:w="120" w:type="dxa"/>
            </w:tcMar>
          </w:tcPr>
          <w:p>
            <w:pPr>
              <w:spacing w:after="0" w:line="264" w:lineRule="auto"/>
            </w:pPr>
            <w:r>
              <w:t>Operate the application, interpret logs, diagnose ingestion failures, and identify production-hardening work.</w:t>
            </w:r>
          </w:p>
        </w:tc>
      </w:tr>
    </w:tbl>
    <w:p>
      <w:pPr>
        <w:spacing w:after="20"/>
      </w:pPr>
    </w:p>
    <w:p>
      <w:r>
        <w:t>Project root: C:\Users\crist\source\repos\MS-ProcessYourData\ProcessDataAI</w:t>
      </w:r>
    </w:p>
    <w:p>
      <w:r>
        <w:t>Document version: July 2026</w:t>
      </w:r>
    </w:p>
    <w:p>
      <w:r>
        <w:br w:type="page"/>
      </w:r>
    </w:p>
    <w:p>
      <w:pPr>
        <w:pStyle w:val="Heading1"/>
      </w:pPr>
      <w:r>
        <w:t>How to use this handout</w:t>
      </w:r>
    </w:p>
    <w:p>
      <w:r>
        <w:t>Read Sections 1-4 for the conceptual model and architecture. Sections 5-13 explain the implementation file by file. Sections 14-17 cover operation, troubleshooting, limitations, and a practical rebuild checklist.</w:t>
      </w:r>
    </w:p>
    <w:p>
      <w:pPr>
        <w:pStyle w:val="Heading2"/>
      </w:pPr>
      <w:r>
        <w:t>Contents</w:t>
      </w:r>
    </w:p>
    <w:p>
      <w:pPr>
        <w:pStyle w:val="ListNumber"/>
      </w:pPr>
      <w:r>
        <w:t>Application purpose and outcomes</w:t>
      </w:r>
    </w:p>
    <w:p>
      <w:pPr>
        <w:pStyle w:val="ListNumber"/>
      </w:pPr>
      <w:r>
        <w:t>Core concepts</w:t>
      </w:r>
    </w:p>
    <w:p>
      <w:pPr>
        <w:pStyle w:val="ListNumber"/>
      </w:pPr>
      <w:r>
        <w:t>Architecture and end-to-end flow</w:t>
      </w:r>
    </w:p>
    <w:p>
      <w:pPr>
        <w:pStyle w:val="ListNumber"/>
      </w:pPr>
      <w:r>
        <w:t>Project structure</w:t>
      </w:r>
    </w:p>
    <w:p>
      <w:pPr>
        <w:pStyle w:val="ListNumber"/>
      </w:pPr>
      <w:r>
        <w:t>Dependencies and why they exist</w:t>
      </w:r>
    </w:p>
    <w:p>
      <w:pPr>
        <w:pStyle w:val="ListNumber"/>
      </w:pPr>
      <w:r>
        <w:t>Startup and dependency injection</w:t>
      </w:r>
    </w:p>
    <w:p>
      <w:pPr>
        <w:pStyle w:val="ListNumber"/>
      </w:pPr>
      <w:r>
        <w:t>Environment configuration and validation</w:t>
      </w:r>
    </w:p>
    <w:p>
      <w:pPr>
        <w:pStyle w:val="ListNumber"/>
      </w:pPr>
      <w:r>
        <w:t>Embedding provider abstraction</w:t>
      </w:r>
    </w:p>
    <w:p>
      <w:pPr>
        <w:pStyle w:val="ListNumber"/>
      </w:pPr>
      <w:r>
        <w:t>PDF extraction and document normalization</w:t>
      </w:r>
    </w:p>
    <w:p>
      <w:pPr>
        <w:pStyle w:val="ListNumber"/>
      </w:pPr>
      <w:r>
        <w:t>Chunking strategy</w:t>
      </w:r>
    </w:p>
    <w:p>
      <w:pPr>
        <w:pStyle w:val="ListNumber"/>
      </w:pPr>
      <w:r>
        <w:t>Vector storage and chunk writing</w:t>
      </w:r>
    </w:p>
    <w:p>
      <w:pPr>
        <w:pStyle w:val="ListNumber"/>
      </w:pPr>
      <w:r>
        <w:t>Ingestion orchestration</w:t>
      </w:r>
    </w:p>
    <w:p>
      <w:pPr>
        <w:pStyle w:val="ListNumber"/>
      </w:pPr>
      <w:r>
        <w:t>Semantic search</w:t>
      </w:r>
    </w:p>
    <w:p>
      <w:pPr>
        <w:pStyle w:val="ListNumber"/>
      </w:pPr>
      <w:r>
        <w:t>Running and validating the application</w:t>
      </w:r>
    </w:p>
    <w:p>
      <w:pPr>
        <w:pStyle w:val="ListNumber"/>
      </w:pPr>
      <w:r>
        <w:t>Errors, logging, and troubleshooting</w:t>
      </w:r>
    </w:p>
    <w:p>
      <w:pPr>
        <w:pStyle w:val="ListNumber"/>
      </w:pPr>
      <w:r>
        <w:t>Limitations and production evolution</w:t>
      </w:r>
    </w:p>
    <w:p>
      <w:pPr>
        <w:pStyle w:val="ListNumber"/>
      </w:pPr>
      <w:r>
        <w:t>Reimplementation checklist and references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2F4F7"/>
          </w:tcPr>
          <w:p>
            <w:pPr>
              <w:pStyle w:val="CalloutText"/>
            </w:pPr>
            <w:r>
              <w:rPr>
                <w:b/>
                <w:color w:val="0B2545"/>
              </w:rPr>
              <w:t xml:space="preserve">Terminology  </w:t>
            </w:r>
            <w:r>
              <w:t>In this handout, document means one PDF; section usually means one extracted PDF page; chunk means a token-bounded segment written to the vector store; record means the vector-store representation of one chunk.</w:t>
            </w:r>
          </w:p>
        </w:tc>
      </w:tr>
    </w:tbl>
    <w:p>
      <w:pPr>
        <w:spacing w:after="20"/>
      </w:pPr>
    </w:p>
    <w:p>
      <w:r>
        <w:br w:type="page"/>
      </w:r>
    </w:p>
    <w:p>
      <w:pPr>
        <w:pStyle w:val="Heading1"/>
      </w:pPr>
      <w:r>
        <w:t>1. Application purpose and outcomes</w:t>
      </w:r>
    </w:p>
    <w:p>
      <w:r>
        <w:t>The POC demonstrates the smallest complete retrieval pipeline needed for semantic search over local documents. It is intentionally a console application and intentionally uses an in-memory vector store. This keeps the focus on ingestion abstractions, embeddings, and retrieval rather than persistence or web UI concerns.</w:t>
      </w:r>
    </w:p>
    <w:p>
      <w:pPr>
        <w:pStyle w:val="Heading2"/>
      </w:pPr>
      <w:r>
        <w:t>What the application does</w:t>
      </w:r>
    </w:p>
    <w:p>
      <w:pPr>
        <w:pStyle w:val="ListNumber"/>
      </w:pPr>
      <w:r>
        <w:t>Loads provider settings from a local .env file.</w:t>
      </w:r>
    </w:p>
    <w:p>
      <w:pPr>
        <w:pStyle w:val="ListNumber"/>
      </w:pPr>
      <w:r>
        <w:t>Discovers every top-level PDF in Data/.</w:t>
      </w:r>
    </w:p>
    <w:p>
      <w:pPr>
        <w:pStyle w:val="ListNumber"/>
      </w:pPr>
      <w:r>
        <w:t>Extracts selectable text from each PDF with PdfPig; no OCR is performed.</w:t>
      </w:r>
    </w:p>
    <w:p>
      <w:pPr>
        <w:pStyle w:val="ListNumber"/>
      </w:pPr>
      <w:r>
        <w:t>Converts each PDF into an IngestionDocument with page-based sections.</w:t>
      </w:r>
    </w:p>
    <w:p>
      <w:pPr>
        <w:pStyle w:val="ListNumber"/>
      </w:pPr>
      <w:r>
        <w:t>Splits documents with Microsoft.Extensions.DataIngestion.DocumentTokenChunker.</w:t>
      </w:r>
    </w:p>
    <w:p>
      <w:pPr>
        <w:pStyle w:val="ListNumber"/>
      </w:pPr>
      <w:r>
        <w:t>Generates embeddings through Microsoft.Extensions.AI.</w:t>
      </w:r>
    </w:p>
    <w:p>
      <w:pPr>
        <w:pStyle w:val="ListNumber"/>
      </w:pPr>
      <w:r>
        <w:t>Writes chunk content and vectors to Microsoft Semantic Kernel's InMemoryVectorStore connector.</w:t>
      </w:r>
    </w:p>
    <w:p>
      <w:pPr>
        <w:pStyle w:val="ListNumber"/>
      </w:pPr>
      <w:r>
        <w:t>Accepts an interactive or one-shot question and returns the top three matches.</w:t>
      </w:r>
    </w:p>
    <w:p>
      <w:pPr>
        <w:pStyle w:val="Heading2"/>
      </w:pPr>
      <w:r>
        <w:t>What the application deliberately does not do</w:t>
      </w:r>
    </w:p>
    <w:p>
      <w:pPr>
        <w:pStyle w:val="ListBullet"/>
      </w:pPr>
      <w:r>
        <w:t>No OCR, so image-only or scanned PDFs are skipped with a clear error.</w:t>
      </w:r>
    </w:p>
    <w:p>
      <w:pPr>
        <w:pStyle w:val="ListBullet"/>
      </w:pPr>
      <w:r>
        <w:t>No persistent database; all vectors disappear when the process exits.</w:t>
      </w:r>
    </w:p>
    <w:p>
      <w:pPr>
        <w:pStyle w:val="ListBullet"/>
      </w:pPr>
      <w:r>
        <w:t>No answer generation. The output is retrieval evidence: score, document name, and chunk content.</w:t>
      </w:r>
    </w:p>
    <w:p>
      <w:pPr>
        <w:pStyle w:val="ListBullet"/>
      </w:pPr>
      <w:r>
        <w:t>No web service, authentication, authorization, document upload, or multi-user isolation.</w:t>
      </w:r>
    </w:p>
    <w:p>
      <w:pPr>
        <w:pStyle w:val="Heading1"/>
      </w:pPr>
      <w:r>
        <w:t>2. Core concepts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ign w:val="center"/>
            <w:tcMar>
              <w:top w:w="90" w:type="dxa"/>
              <w:start w:w="120" w:type="dxa"/>
              <w:bottom w:w="90" w:type="dxa"/>
              <w:end w:w="120" w:type="dxa"/>
            </w:tcMar>
          </w:tcPr>
          <w:p>
            <w:pPr>
              <w:spacing w:after="0"/>
            </w:pPr>
            <w:r>
              <w:rPr>
                <w:b/>
                <w:color w:val="0B2545"/>
              </w:rPr>
              <w:t>Concept</w:t>
            </w:r>
          </w:p>
        </w:tc>
        <w:tc>
          <w:tcPr>
            <w:tcW w:type="dxa" w:w="7260"/>
            <w:shd w:fill="E8EEF5"/>
            <w:vAlign w:val="center"/>
            <w:tcMar>
              <w:top w:w="90" w:type="dxa"/>
              <w:start w:w="120" w:type="dxa"/>
              <w:bottom w:w="90" w:type="dxa"/>
              <w:end w:w="120" w:type="dxa"/>
            </w:tcMar>
          </w:tcPr>
          <w:p>
            <w:pPr>
              <w:spacing w:after="0"/>
            </w:pPr>
            <w:r>
              <w:rPr>
                <w:b/>
                <w:color w:val="0B2545"/>
              </w:rPr>
              <w:t>Meaning in this POC</w:t>
            </w:r>
          </w:p>
        </w:tc>
      </w:tr>
      <w:tr>
        <w:trPr>
          <w:cantSplit/>
        </w:trPr>
        <w:tc>
          <w:tcPr>
            <w:tcW w:type="dxa" w:w="2100"/>
            <w:vAlign w:val="center"/>
            <w:tcMar>
              <w:top w:w="90" w:type="dxa"/>
              <w:start w:w="120" w:type="dxa"/>
              <w:bottom w:w="90" w:type="dxa"/>
              <w:end w:w="120" w:type="dxa"/>
            </w:tcMar>
          </w:tcPr>
          <w:p>
            <w:pPr>
              <w:spacing w:after="0" w:line="264" w:lineRule="auto"/>
            </w:pPr>
            <w:r>
              <w:t>Ingestion document</w:t>
            </w:r>
          </w:p>
        </w:tc>
        <w:tc>
          <w:tcPr>
            <w:tcW w:type="dxa" w:w="7260"/>
            <w:vAlign w:val="center"/>
            <w:tcMar>
              <w:top w:w="90" w:type="dxa"/>
              <w:start w:w="120" w:type="dxa"/>
              <w:bottom w:w="90" w:type="dxa"/>
              <w:end w:w="120" w:type="dxa"/>
            </w:tcMar>
          </w:tcPr>
          <w:p>
            <w:pPr>
              <w:spacing w:after="0" w:line="264" w:lineRule="auto"/>
            </w:pPr>
            <w:r>
              <w:t>A format-neutral Microsoft object containing sections and elements. It separates PDF parsing from downstream chunking.</w:t>
            </w:r>
          </w:p>
        </w:tc>
      </w:tr>
      <w:tr>
        <w:trPr>
          <w:cantSplit/>
        </w:trPr>
        <w:tc>
          <w:tcPr>
            <w:tcW w:type="dxa" w:w="2100"/>
            <w:vAlign w:val="center"/>
            <w:tcMar>
              <w:top w:w="90" w:type="dxa"/>
              <w:start w:w="120" w:type="dxa"/>
              <w:bottom w:w="90" w:type="dxa"/>
              <w:end w:w="120" w:type="dxa"/>
            </w:tcMar>
          </w:tcPr>
          <w:p>
            <w:pPr>
              <w:spacing w:after="0" w:line="264" w:lineRule="auto"/>
            </w:pPr>
            <w:r>
              <w:t>Chunk</w:t>
            </w:r>
          </w:p>
        </w:tc>
        <w:tc>
          <w:tcPr>
            <w:tcW w:type="dxa" w:w="7260"/>
            <w:vAlign w:val="center"/>
            <w:tcMar>
              <w:top w:w="90" w:type="dxa"/>
              <w:start w:w="120" w:type="dxa"/>
              <w:bottom w:w="90" w:type="dxa"/>
              <w:end w:w="120" w:type="dxa"/>
            </w:tcMar>
          </w:tcPr>
          <w:p>
            <w:pPr>
              <w:spacing w:after="0" w:line="264" w:lineRule="auto"/>
            </w:pPr>
            <w:r>
              <w:t>A bounded piece of text suitable for embedding and retrieval. Chunks overlap so context near a boundary is not lost.</w:t>
            </w:r>
          </w:p>
        </w:tc>
      </w:tr>
      <w:tr>
        <w:trPr>
          <w:cantSplit/>
        </w:trPr>
        <w:tc>
          <w:tcPr>
            <w:tcW w:type="dxa" w:w="2100"/>
            <w:vAlign w:val="center"/>
            <w:tcMar>
              <w:top w:w="90" w:type="dxa"/>
              <w:start w:w="120" w:type="dxa"/>
              <w:bottom w:w="90" w:type="dxa"/>
              <w:end w:w="120" w:type="dxa"/>
            </w:tcMar>
          </w:tcPr>
          <w:p>
            <w:pPr>
              <w:spacing w:after="0" w:line="264" w:lineRule="auto"/>
            </w:pPr>
            <w:r>
              <w:t>Embedding</w:t>
            </w:r>
          </w:p>
        </w:tc>
        <w:tc>
          <w:tcPr>
            <w:tcW w:type="dxa" w:w="7260"/>
            <w:vAlign w:val="center"/>
            <w:tcMar>
              <w:top w:w="90" w:type="dxa"/>
              <w:start w:w="120" w:type="dxa"/>
              <w:bottom w:w="90" w:type="dxa"/>
              <w:end w:w="120" w:type="dxa"/>
            </w:tcMar>
          </w:tcPr>
          <w:p>
            <w:pPr>
              <w:spacing w:after="0" w:line="264" w:lineRule="auto"/>
            </w:pPr>
            <w:r>
              <w:t>A numeric vector representing semantic meaning. Similar text tends to occupy nearby positions in vector space.</w:t>
            </w:r>
          </w:p>
        </w:tc>
      </w:tr>
      <w:tr>
        <w:trPr>
          <w:cantSplit/>
        </w:trPr>
        <w:tc>
          <w:tcPr>
            <w:tcW w:type="dxa" w:w="2100"/>
            <w:vAlign w:val="center"/>
            <w:tcMar>
              <w:top w:w="90" w:type="dxa"/>
              <w:start w:w="120" w:type="dxa"/>
              <w:bottom w:w="90" w:type="dxa"/>
              <w:end w:w="120" w:type="dxa"/>
            </w:tcMar>
          </w:tcPr>
          <w:p>
            <w:pPr>
              <w:spacing w:after="0" w:line="264" w:lineRule="auto"/>
            </w:pPr>
            <w:r>
              <w:t>Vector store</w:t>
            </w:r>
          </w:p>
        </w:tc>
        <w:tc>
          <w:tcPr>
            <w:tcW w:type="dxa" w:w="7260"/>
            <w:vAlign w:val="center"/>
            <w:tcMar>
              <w:top w:w="90" w:type="dxa"/>
              <w:start w:w="120" w:type="dxa"/>
              <w:bottom w:w="90" w:type="dxa"/>
              <w:end w:w="120" w:type="dxa"/>
            </w:tcMar>
          </w:tcPr>
          <w:p>
            <w:pPr>
              <w:spacing w:after="0" w:line="264" w:lineRule="auto"/>
            </w:pPr>
            <w:r>
              <w:t>A collection that stores content plus vectors and supports nearest-neighbor search.</w:t>
            </w:r>
          </w:p>
        </w:tc>
      </w:tr>
      <w:tr>
        <w:trPr>
          <w:cantSplit/>
        </w:trPr>
        <w:tc>
          <w:tcPr>
            <w:tcW w:type="dxa" w:w="2100"/>
            <w:vAlign w:val="center"/>
            <w:tcMar>
              <w:top w:w="90" w:type="dxa"/>
              <w:start w:w="120" w:type="dxa"/>
              <w:bottom w:w="90" w:type="dxa"/>
              <w:end w:w="120" w:type="dxa"/>
            </w:tcMar>
          </w:tcPr>
          <w:p>
            <w:pPr>
              <w:spacing w:after="0" w:line="264" w:lineRule="auto"/>
            </w:pPr>
            <w:r>
              <w:t>Cosine similarity</w:t>
            </w:r>
          </w:p>
        </w:tc>
        <w:tc>
          <w:tcPr>
            <w:tcW w:type="dxa" w:w="7260"/>
            <w:vAlign w:val="center"/>
            <w:tcMar>
              <w:top w:w="90" w:type="dxa"/>
              <w:start w:w="120" w:type="dxa"/>
              <w:bottom w:w="90" w:type="dxa"/>
              <w:end w:w="120" w:type="dxa"/>
            </w:tcMar>
          </w:tcPr>
          <w:p>
            <w:pPr>
              <w:spacing w:after="0" w:line="264" w:lineRule="auto"/>
            </w:pPr>
            <w:r>
              <w:t>The configured comparison method. Higher result scores indicate closer semantic alignment.</w:t>
            </w:r>
          </w:p>
        </w:tc>
      </w:tr>
      <w:tr>
        <w:trPr>
          <w:cantSplit/>
        </w:trPr>
        <w:tc>
          <w:tcPr>
            <w:tcW w:type="dxa" w:w="2100"/>
            <w:vAlign w:val="center"/>
            <w:tcMar>
              <w:top w:w="90" w:type="dxa"/>
              <w:start w:w="120" w:type="dxa"/>
              <w:bottom w:w="90" w:type="dxa"/>
              <w:end w:w="120" w:type="dxa"/>
            </w:tcMar>
          </w:tcPr>
          <w:p>
            <w:pPr>
              <w:spacing w:after="0" w:line="264" w:lineRule="auto"/>
            </w:pPr>
            <w:r>
              <w:t>Provider abstraction</w:t>
            </w:r>
          </w:p>
        </w:tc>
        <w:tc>
          <w:tcPr>
            <w:tcW w:type="dxa" w:w="7260"/>
            <w:vAlign w:val="center"/>
            <w:tcMar>
              <w:top w:w="90" w:type="dxa"/>
              <w:start w:w="120" w:type="dxa"/>
              <w:bottom w:w="90" w:type="dxa"/>
              <w:end w:w="120" w:type="dxa"/>
            </w:tcMar>
          </w:tcPr>
          <w:p>
            <w:pPr>
              <w:spacing w:after="0" w:line="264" w:lineRule="auto"/>
            </w:pPr>
            <w:r>
              <w:t>The application consumes IEmbeddingGenerator, while startup chooses Azure OpenAI or Ollama.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EAF4EA"/>
          </w:tcPr>
          <w:p>
            <w:pPr>
              <w:pStyle w:val="CalloutText"/>
            </w:pPr>
            <w:r>
              <w:rPr>
                <w:b/>
                <w:color w:val="0B2545"/>
              </w:rPr>
              <w:t xml:space="preserve">Key design idea  </w:t>
            </w:r>
            <w:r>
              <w:t>The reader knows about PDFs, the chunker knows about ingestion documents, and the vector writer knows about chunks. Each stage depends on an abstraction rather than on the internal details of the previous technology.</w:t>
            </w:r>
          </w:p>
        </w:tc>
      </w:tr>
    </w:tbl>
    <w:p>
      <w:pPr>
        <w:spacing w:after="20"/>
      </w:pPr>
    </w:p>
    <w:p>
      <w:r>
        <w:br w:type="page"/>
      </w:r>
    </w:p>
    <w:p>
      <w:pPr>
        <w:pStyle w:val="Heading1"/>
      </w:pPr>
      <w:r>
        <w:t>3. Architecture and end-to-end flow</w:t>
      </w:r>
    </w:p>
    <w:p>
      <w:r>
        <w:t>The application is a linear pipeline with two uses of the embedding generator: first during ingestion to vectorize chunks, then during search to vectorize the user's query.</w:t>
      </w:r>
    </w:p>
    <w:tbl>
      <w:tblPr>
        <w:tblStyle w:val="TableGrid"/>
        <w:tblW w:type="dxa" w:w="9360"/>
        <w:jc w:val="left"/>
        <w:tblLayout w:type="fixed"/>
        <w:tblLook w:firstColumn="1" w:firstRow="1" w:lastColumn="0" w:lastRow="0" w:noHBand="0" w:noVBand="1" w:val="04A0"/>
        <w:tblInd w:w="120" w:type="dxa"/>
      </w:tblPr>
      <w:tblGrid>
        <w:gridCol w:w="1200"/>
        <w:gridCol w:w="1550"/>
        <w:gridCol w:w="3150"/>
        <w:gridCol w:w="3460"/>
      </w:tblGrid>
      <w:tr>
        <w:trPr>
          <w:tblHeader w:val="true"/>
          <w:cantSplit/>
        </w:trPr>
        <w:tc>
          <w:tcPr>
            <w:tcW w:type="dxa" w:w="1200"/>
            <w:shd w:fill="E8EEF5"/>
            <w:vAlign w:val="center"/>
            <w:tcMar>
              <w:top w:w="90" w:type="dxa"/>
              <w:start w:w="120" w:type="dxa"/>
              <w:bottom w:w="90" w:type="dxa"/>
              <w:end w:w="120" w:type="dxa"/>
            </w:tcMar>
          </w:tcPr>
          <w:p>
            <w:pPr>
              <w:spacing w:after="0"/>
            </w:pPr>
            <w:r>
              <w:rPr>
                <w:b/>
                <w:color w:val="0B2545"/>
              </w:rPr>
              <w:t>Stage</w:t>
            </w:r>
          </w:p>
        </w:tc>
        <w:tc>
          <w:tcPr>
            <w:tcW w:type="dxa" w:w="1550"/>
            <w:shd w:fill="E8EEF5"/>
            <w:vAlign w:val="center"/>
            <w:tcMar>
              <w:top w:w="90" w:type="dxa"/>
              <w:start w:w="120" w:type="dxa"/>
              <w:bottom w:w="90" w:type="dxa"/>
              <w:end w:w="120" w:type="dxa"/>
            </w:tcMar>
          </w:tcPr>
          <w:p>
            <w:pPr>
              <w:spacing w:after="0"/>
            </w:pPr>
            <w:r>
              <w:rPr>
                <w:b/>
                <w:color w:val="0B2545"/>
              </w:rPr>
              <w:t>Input</w:t>
            </w:r>
          </w:p>
        </w:tc>
        <w:tc>
          <w:tcPr>
            <w:tcW w:type="dxa" w:w="3150"/>
            <w:shd w:fill="E8EEF5"/>
            <w:vAlign w:val="center"/>
            <w:tcMar>
              <w:top w:w="90" w:type="dxa"/>
              <w:start w:w="120" w:type="dxa"/>
              <w:bottom w:w="90" w:type="dxa"/>
              <w:end w:w="120" w:type="dxa"/>
            </w:tcMar>
          </w:tcPr>
          <w:p>
            <w:pPr>
              <w:spacing w:after="0"/>
            </w:pPr>
            <w:r>
              <w:rPr>
                <w:b/>
                <w:color w:val="0B2545"/>
              </w:rPr>
              <w:t>Component</w:t>
            </w:r>
          </w:p>
        </w:tc>
        <w:tc>
          <w:tcPr>
            <w:tcW w:type="dxa" w:w="3460"/>
            <w:shd w:fill="E8EEF5"/>
            <w:vAlign w:val="center"/>
            <w:tcMar>
              <w:top w:w="90" w:type="dxa"/>
              <w:start w:w="120" w:type="dxa"/>
              <w:bottom w:w="90" w:type="dxa"/>
              <w:end w:w="120" w:type="dxa"/>
            </w:tcMar>
          </w:tcPr>
          <w:p>
            <w:pPr>
              <w:spacing w:after="0"/>
            </w:pPr>
            <w:r>
              <w:rPr>
                <w:b/>
                <w:color w:val="0B2545"/>
              </w:rPr>
              <w:t>Output</w:t>
            </w:r>
          </w:p>
        </w:tc>
      </w:tr>
      <w:tr>
        <w:trPr>
          <w:cantSplit/>
        </w:trPr>
        <w:tc>
          <w:tcPr>
            <w:tcW w:type="dxa" w:w="1200"/>
            <w:vAlign w:val="center"/>
            <w:tcMar>
              <w:top w:w="90" w:type="dxa"/>
              <w:start w:w="120" w:type="dxa"/>
              <w:bottom w:w="90" w:type="dxa"/>
              <w:end w:w="120" w:type="dxa"/>
            </w:tcMar>
          </w:tcPr>
          <w:p>
            <w:pPr>
              <w:spacing w:after="0" w:line="264" w:lineRule="auto"/>
            </w:pPr>
            <w:r>
              <w:t>1. Configure</w:t>
            </w:r>
          </w:p>
        </w:tc>
        <w:tc>
          <w:tcPr>
            <w:tcW w:type="dxa" w:w="1550"/>
            <w:vAlign w:val="center"/>
            <w:tcMar>
              <w:top w:w="90" w:type="dxa"/>
              <w:start w:w="120" w:type="dxa"/>
              <w:bottom w:w="90" w:type="dxa"/>
              <w:end w:w="120" w:type="dxa"/>
            </w:tcMar>
          </w:tcPr>
          <w:p>
            <w:pPr>
              <w:spacing w:after="0" w:line="264" w:lineRule="auto"/>
            </w:pPr>
            <w:r>
              <w:t>.env</w:t>
            </w:r>
          </w:p>
        </w:tc>
        <w:tc>
          <w:tcPr>
            <w:tcW w:type="dxa" w:w="3150"/>
            <w:vAlign w:val="center"/>
            <w:tcMar>
              <w:top w:w="90" w:type="dxa"/>
              <w:start w:w="120" w:type="dxa"/>
              <w:bottom w:w="90" w:type="dxa"/>
              <w:end w:w="120" w:type="dxa"/>
            </w:tcMar>
          </w:tcPr>
          <w:p>
            <w:pPr>
              <w:spacing w:after="0" w:line="264" w:lineRule="auto"/>
            </w:pPr>
            <w:r>
              <w:t>EnvFile + AiOptionsValidator</w:t>
            </w:r>
          </w:p>
        </w:tc>
        <w:tc>
          <w:tcPr>
            <w:tcW w:type="dxa" w:w="3460"/>
            <w:vAlign w:val="center"/>
            <w:tcMar>
              <w:top w:w="90" w:type="dxa"/>
              <w:start w:w="120" w:type="dxa"/>
              <w:bottom w:w="90" w:type="dxa"/>
              <w:end w:w="120" w:type="dxa"/>
            </w:tcMar>
          </w:tcPr>
          <w:p>
            <w:pPr>
              <w:spacing w:after="0" w:line="264" w:lineRule="auto"/>
            </w:pPr>
            <w:r>
              <w:t>Validated AiOptions</w:t>
            </w:r>
          </w:p>
        </w:tc>
      </w:tr>
      <w:tr>
        <w:trPr>
          <w:cantSplit/>
        </w:trPr>
        <w:tc>
          <w:tcPr>
            <w:tcW w:type="dxa" w:w="1200"/>
            <w:vAlign w:val="center"/>
            <w:tcMar>
              <w:top w:w="90" w:type="dxa"/>
              <w:start w:w="120" w:type="dxa"/>
              <w:bottom w:w="90" w:type="dxa"/>
              <w:end w:w="120" w:type="dxa"/>
            </w:tcMar>
          </w:tcPr>
          <w:p>
            <w:pPr>
              <w:spacing w:after="0" w:line="264" w:lineRule="auto"/>
            </w:pPr>
            <w:r>
              <w:t>2. Select provider</w:t>
            </w:r>
          </w:p>
        </w:tc>
        <w:tc>
          <w:tcPr>
            <w:tcW w:type="dxa" w:w="1550"/>
            <w:vAlign w:val="center"/>
            <w:tcMar>
              <w:top w:w="90" w:type="dxa"/>
              <w:start w:w="120" w:type="dxa"/>
              <w:bottom w:w="90" w:type="dxa"/>
              <w:end w:w="120" w:type="dxa"/>
            </w:tcMar>
          </w:tcPr>
          <w:p>
            <w:pPr>
              <w:spacing w:after="0" w:line="264" w:lineRule="auto"/>
            </w:pPr>
            <w:r>
              <w:t>AiOptions</w:t>
            </w:r>
          </w:p>
        </w:tc>
        <w:tc>
          <w:tcPr>
            <w:tcW w:type="dxa" w:w="3150"/>
            <w:vAlign w:val="center"/>
            <w:tcMar>
              <w:top w:w="90" w:type="dxa"/>
              <w:start w:w="120" w:type="dxa"/>
              <w:bottom w:w="90" w:type="dxa"/>
              <w:end w:w="120" w:type="dxa"/>
            </w:tcMar>
          </w:tcPr>
          <w:p>
            <w:pPr>
              <w:spacing w:after="0" w:line="264" w:lineRule="auto"/>
            </w:pPr>
            <w:r>
              <w:t>EmbeddingGeneratorFactory</w:t>
            </w:r>
          </w:p>
        </w:tc>
        <w:tc>
          <w:tcPr>
            <w:tcW w:type="dxa" w:w="3460"/>
            <w:vAlign w:val="center"/>
            <w:tcMar>
              <w:top w:w="90" w:type="dxa"/>
              <w:start w:w="120" w:type="dxa"/>
              <w:bottom w:w="90" w:type="dxa"/>
              <w:end w:w="120" w:type="dxa"/>
            </w:tcMar>
          </w:tcPr>
          <w:p>
            <w:pPr>
              <w:spacing w:after="0" w:line="264" w:lineRule="auto"/>
            </w:pPr>
            <w:r>
              <w:t>IEmbeddingGenerator&lt;string, Embedding&lt;float&gt;&gt;</w:t>
            </w:r>
          </w:p>
        </w:tc>
      </w:tr>
      <w:tr>
        <w:trPr>
          <w:cantSplit/>
        </w:trPr>
        <w:tc>
          <w:tcPr>
            <w:tcW w:type="dxa" w:w="1200"/>
            <w:vAlign w:val="center"/>
            <w:tcMar>
              <w:top w:w="90" w:type="dxa"/>
              <w:start w:w="120" w:type="dxa"/>
              <w:bottom w:w="90" w:type="dxa"/>
              <w:end w:w="120" w:type="dxa"/>
            </w:tcMar>
          </w:tcPr>
          <w:p>
            <w:pPr>
              <w:spacing w:after="0" w:line="264" w:lineRule="auto"/>
            </w:pPr>
            <w:r>
              <w:t>3. Discover</w:t>
            </w:r>
          </w:p>
        </w:tc>
        <w:tc>
          <w:tcPr>
            <w:tcW w:type="dxa" w:w="1550"/>
            <w:vAlign w:val="center"/>
            <w:tcMar>
              <w:top w:w="90" w:type="dxa"/>
              <w:start w:w="120" w:type="dxa"/>
              <w:bottom w:w="90" w:type="dxa"/>
              <w:end w:w="120" w:type="dxa"/>
            </w:tcMar>
          </w:tcPr>
          <w:p>
            <w:pPr>
              <w:spacing w:after="0" w:line="264" w:lineRule="auto"/>
            </w:pPr>
            <w:r>
              <w:t>Data/</w:t>
            </w:r>
          </w:p>
        </w:tc>
        <w:tc>
          <w:tcPr>
            <w:tcW w:type="dxa" w:w="3150"/>
            <w:vAlign w:val="center"/>
            <w:tcMar>
              <w:top w:w="90" w:type="dxa"/>
              <w:start w:w="120" w:type="dxa"/>
              <w:bottom w:w="90" w:type="dxa"/>
              <w:end w:w="120" w:type="dxa"/>
            </w:tcMar>
          </w:tcPr>
          <w:p>
            <w:pPr>
              <w:spacing w:after="0" w:line="264" w:lineRule="auto"/>
            </w:pPr>
            <w:r>
              <w:t>DocumentSearchService</w:t>
            </w:r>
          </w:p>
        </w:tc>
        <w:tc>
          <w:tcPr>
            <w:tcW w:type="dxa" w:w="3460"/>
            <w:vAlign w:val="center"/>
            <w:tcMar>
              <w:top w:w="90" w:type="dxa"/>
              <w:start w:w="120" w:type="dxa"/>
              <w:bottom w:w="90" w:type="dxa"/>
              <w:end w:w="120" w:type="dxa"/>
            </w:tcMar>
          </w:tcPr>
          <w:p>
            <w:pPr>
              <w:spacing w:after="0" w:line="264" w:lineRule="auto"/>
            </w:pPr>
            <w:r>
              <w:t>Ordered FileInfo[]</w:t>
            </w:r>
          </w:p>
        </w:tc>
      </w:tr>
      <w:tr>
        <w:trPr>
          <w:cantSplit/>
        </w:trPr>
        <w:tc>
          <w:tcPr>
            <w:tcW w:type="dxa" w:w="1200"/>
            <w:vAlign w:val="center"/>
            <w:tcMar>
              <w:top w:w="90" w:type="dxa"/>
              <w:start w:w="120" w:type="dxa"/>
              <w:bottom w:w="90" w:type="dxa"/>
              <w:end w:w="120" w:type="dxa"/>
            </w:tcMar>
          </w:tcPr>
          <w:p>
            <w:pPr>
              <w:spacing w:after="0" w:line="264" w:lineRule="auto"/>
            </w:pPr>
            <w:r>
              <w:t>4. Read</w:t>
            </w:r>
          </w:p>
        </w:tc>
        <w:tc>
          <w:tcPr>
            <w:tcW w:type="dxa" w:w="1550"/>
            <w:vAlign w:val="center"/>
            <w:tcMar>
              <w:top w:w="90" w:type="dxa"/>
              <w:start w:w="120" w:type="dxa"/>
              <w:bottom w:w="90" w:type="dxa"/>
              <w:end w:w="120" w:type="dxa"/>
            </w:tcMar>
          </w:tcPr>
          <w:p>
            <w:pPr>
              <w:spacing w:after="0" w:line="264" w:lineRule="auto"/>
            </w:pPr>
            <w:r>
              <w:t>PDF stream</w:t>
            </w:r>
          </w:p>
        </w:tc>
        <w:tc>
          <w:tcPr>
            <w:tcW w:type="dxa" w:w="3150"/>
            <w:vAlign w:val="center"/>
            <w:tcMar>
              <w:top w:w="90" w:type="dxa"/>
              <w:start w:w="120" w:type="dxa"/>
              <w:bottom w:w="90" w:type="dxa"/>
              <w:end w:w="120" w:type="dxa"/>
            </w:tcMar>
          </w:tcPr>
          <w:p>
            <w:pPr>
              <w:spacing w:after="0" w:line="264" w:lineRule="auto"/>
            </w:pPr>
            <w:r>
              <w:t>PdfPigDocumentReader</w:t>
            </w:r>
          </w:p>
        </w:tc>
        <w:tc>
          <w:tcPr>
            <w:tcW w:type="dxa" w:w="3460"/>
            <w:vAlign w:val="center"/>
            <w:tcMar>
              <w:top w:w="90" w:type="dxa"/>
              <w:start w:w="120" w:type="dxa"/>
              <w:bottom w:w="90" w:type="dxa"/>
              <w:end w:w="120" w:type="dxa"/>
            </w:tcMar>
          </w:tcPr>
          <w:p>
            <w:pPr>
              <w:spacing w:after="0" w:line="264" w:lineRule="auto"/>
            </w:pPr>
            <w:r>
              <w:t>IngestionDocument</w:t>
            </w:r>
          </w:p>
        </w:tc>
      </w:tr>
      <w:tr>
        <w:trPr>
          <w:cantSplit/>
        </w:trPr>
        <w:tc>
          <w:tcPr>
            <w:tcW w:type="dxa" w:w="1200"/>
            <w:vAlign w:val="center"/>
            <w:tcMar>
              <w:top w:w="90" w:type="dxa"/>
              <w:start w:w="120" w:type="dxa"/>
              <w:bottom w:w="90" w:type="dxa"/>
              <w:end w:w="120" w:type="dxa"/>
            </w:tcMar>
          </w:tcPr>
          <w:p>
            <w:pPr>
              <w:spacing w:after="0" w:line="264" w:lineRule="auto"/>
            </w:pPr>
            <w:r>
              <w:t>5. Chunk</w:t>
            </w:r>
          </w:p>
        </w:tc>
        <w:tc>
          <w:tcPr>
            <w:tcW w:type="dxa" w:w="1550"/>
            <w:vAlign w:val="center"/>
            <w:tcMar>
              <w:top w:w="90" w:type="dxa"/>
              <w:start w:w="120" w:type="dxa"/>
              <w:bottom w:w="90" w:type="dxa"/>
              <w:end w:w="120" w:type="dxa"/>
            </w:tcMar>
          </w:tcPr>
          <w:p>
            <w:pPr>
              <w:spacing w:after="0" w:line="264" w:lineRule="auto"/>
            </w:pPr>
            <w:r>
              <w:t>IngestionDocument</w:t>
            </w:r>
          </w:p>
        </w:tc>
        <w:tc>
          <w:tcPr>
            <w:tcW w:type="dxa" w:w="3150"/>
            <w:vAlign w:val="center"/>
            <w:tcMar>
              <w:top w:w="90" w:type="dxa"/>
              <w:start w:w="120" w:type="dxa"/>
              <w:bottom w:w="90" w:type="dxa"/>
              <w:end w:w="120" w:type="dxa"/>
            </w:tcMar>
          </w:tcPr>
          <w:p>
            <w:pPr>
              <w:spacing w:after="0" w:line="264" w:lineRule="auto"/>
            </w:pPr>
            <w:r>
              <w:t>DocumentTokenChunker</w:t>
            </w:r>
          </w:p>
        </w:tc>
        <w:tc>
          <w:tcPr>
            <w:tcW w:type="dxa" w:w="3460"/>
            <w:vAlign w:val="center"/>
            <w:tcMar>
              <w:top w:w="90" w:type="dxa"/>
              <w:start w:w="120" w:type="dxa"/>
              <w:bottom w:w="90" w:type="dxa"/>
              <w:end w:w="120" w:type="dxa"/>
            </w:tcMar>
          </w:tcPr>
          <w:p>
            <w:pPr>
              <w:spacing w:after="0" w:line="264" w:lineRule="auto"/>
            </w:pPr>
            <w:r>
              <w:t>IAsyncEnumerable&lt;IngestionChunk&lt;string&gt;&gt;</w:t>
            </w:r>
          </w:p>
        </w:tc>
      </w:tr>
      <w:tr>
        <w:trPr>
          <w:cantSplit/>
        </w:trPr>
        <w:tc>
          <w:tcPr>
            <w:tcW w:type="dxa" w:w="1200"/>
            <w:vAlign w:val="center"/>
            <w:tcMar>
              <w:top w:w="90" w:type="dxa"/>
              <w:start w:w="120" w:type="dxa"/>
              <w:bottom w:w="90" w:type="dxa"/>
              <w:end w:w="120" w:type="dxa"/>
            </w:tcMar>
          </w:tcPr>
          <w:p>
            <w:pPr>
              <w:spacing w:after="0" w:line="264" w:lineRule="auto"/>
            </w:pPr>
            <w:r>
              <w:t>6. Embed + write</w:t>
            </w:r>
          </w:p>
        </w:tc>
        <w:tc>
          <w:tcPr>
            <w:tcW w:type="dxa" w:w="1550"/>
            <w:vAlign w:val="center"/>
            <w:tcMar>
              <w:top w:w="90" w:type="dxa"/>
              <w:start w:w="120" w:type="dxa"/>
              <w:bottom w:w="90" w:type="dxa"/>
              <w:end w:w="120" w:type="dxa"/>
            </w:tcMar>
          </w:tcPr>
          <w:p>
            <w:pPr>
              <w:spacing w:after="0" w:line="264" w:lineRule="auto"/>
            </w:pPr>
            <w:r>
              <w:t>Chunks</w:t>
            </w:r>
          </w:p>
        </w:tc>
        <w:tc>
          <w:tcPr>
            <w:tcW w:type="dxa" w:w="3150"/>
            <w:vAlign w:val="center"/>
            <w:tcMar>
              <w:top w:w="90" w:type="dxa"/>
              <w:start w:w="120" w:type="dxa"/>
              <w:bottom w:w="90" w:type="dxa"/>
              <w:end w:w="120" w:type="dxa"/>
            </w:tcMar>
          </w:tcPr>
          <w:p>
            <w:pPr>
              <w:spacing w:after="0" w:line="264" w:lineRule="auto"/>
            </w:pPr>
            <w:r>
              <w:t>VectorStoreWriter</w:t>
            </w:r>
          </w:p>
        </w:tc>
        <w:tc>
          <w:tcPr>
            <w:tcW w:type="dxa" w:w="3460"/>
            <w:vAlign w:val="center"/>
            <w:tcMar>
              <w:top w:w="90" w:type="dxa"/>
              <w:start w:w="120" w:type="dxa"/>
              <w:bottom w:w="90" w:type="dxa"/>
              <w:end w:w="120" w:type="dxa"/>
            </w:tcMar>
          </w:tcPr>
          <w:p>
            <w:pPr>
              <w:spacing w:after="0" w:line="264" w:lineRule="auto"/>
            </w:pPr>
            <w:r>
              <w:t>In-memory vector records</w:t>
            </w:r>
          </w:p>
        </w:tc>
      </w:tr>
      <w:tr>
        <w:trPr>
          <w:cantSplit/>
        </w:trPr>
        <w:tc>
          <w:tcPr>
            <w:tcW w:type="dxa" w:w="1200"/>
            <w:vAlign w:val="center"/>
            <w:tcMar>
              <w:top w:w="90" w:type="dxa"/>
              <w:start w:w="120" w:type="dxa"/>
              <w:bottom w:w="90" w:type="dxa"/>
              <w:end w:w="120" w:type="dxa"/>
            </w:tcMar>
          </w:tcPr>
          <w:p>
            <w:pPr>
              <w:spacing w:after="0" w:line="264" w:lineRule="auto"/>
            </w:pPr>
            <w:r>
              <w:t>7. Search</w:t>
            </w:r>
          </w:p>
        </w:tc>
        <w:tc>
          <w:tcPr>
            <w:tcW w:type="dxa" w:w="1550"/>
            <w:vAlign w:val="center"/>
            <w:tcMar>
              <w:top w:w="90" w:type="dxa"/>
              <w:start w:w="120" w:type="dxa"/>
              <w:bottom w:w="90" w:type="dxa"/>
              <w:end w:w="120" w:type="dxa"/>
            </w:tcMar>
          </w:tcPr>
          <w:p>
            <w:pPr>
              <w:spacing w:after="0" w:line="264" w:lineRule="auto"/>
            </w:pPr>
            <w:r>
              <w:t>Question text</w:t>
            </w:r>
          </w:p>
        </w:tc>
        <w:tc>
          <w:tcPr>
            <w:tcW w:type="dxa" w:w="3150"/>
            <w:vAlign w:val="center"/>
            <w:tcMar>
              <w:top w:w="90" w:type="dxa"/>
              <w:start w:w="120" w:type="dxa"/>
              <w:bottom w:w="90" w:type="dxa"/>
              <w:end w:w="120" w:type="dxa"/>
            </w:tcMar>
          </w:tcPr>
          <w:p>
            <w:pPr>
              <w:spacing w:after="0" w:line="264" w:lineRule="auto"/>
            </w:pPr>
            <w:r>
              <w:t>VectorStoreCollection.SearchAsync</w:t>
            </w:r>
          </w:p>
        </w:tc>
        <w:tc>
          <w:tcPr>
            <w:tcW w:type="dxa" w:w="3460"/>
            <w:vAlign w:val="center"/>
            <w:tcMar>
              <w:top w:w="90" w:type="dxa"/>
              <w:start w:w="120" w:type="dxa"/>
              <w:bottom w:w="90" w:type="dxa"/>
              <w:end w:w="120" w:type="dxa"/>
            </w:tcMar>
          </w:tcPr>
          <w:p>
            <w:pPr>
              <w:spacing w:after="0" w:line="264" w:lineRule="auto"/>
            </w:pPr>
            <w:r>
              <w:t>Top 3 scored records</w:t>
            </w:r>
          </w:p>
        </w:tc>
      </w:tr>
    </w:tbl>
    <w:p>
      <w:pPr>
        <w:spacing w:after="20"/>
      </w:pPr>
    </w:p>
    <w:p>
      <w:pPr>
        <w:pStyle w:val="Heading2"/>
      </w:pPr>
      <w:r>
        <w:t>Control flow</w:t>
      </w:r>
    </w:p>
    <w:p>
      <w:pPr>
        <w:spacing w:before="80" w:after="60"/>
      </w:pPr>
      <w:r>
        <w:rPr>
          <w:b/>
          <w:color w:val="1F4D78"/>
          <w:sz w:val="19"/>
        </w:rPr>
        <w:t>Figure 1. Application lifecycle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Program.cs</w:t>
            </w:r>
          </w:p>
          <w:p>
            <w:pPr>
              <w:pStyle w:val="CodeBlock"/>
            </w:pPr>
            <w:r>
              <w:t xml:space="preserve">  -&gt; load .env</w:t>
            </w:r>
          </w:p>
          <w:p>
            <w:pPr>
              <w:pStyle w:val="CodeBlock"/>
            </w:pPr>
            <w:r>
              <w:t xml:space="preserve">  -&gt; build DI container</w:t>
            </w:r>
          </w:p>
          <w:p>
            <w:pPr>
              <w:pStyle w:val="CodeBlock"/>
            </w:pPr>
            <w:r>
              <w:t xml:space="preserve">  -&gt; resolve DocumentSearchService</w:t>
            </w:r>
          </w:p>
          <w:p>
            <w:pPr>
              <w:pStyle w:val="CodeBlock"/>
            </w:pPr>
            <w:r>
              <w:t xml:space="preserve">  -&gt; IngestAsync(Data/)</w:t>
            </w:r>
          </w:p>
          <w:p>
            <w:pPr>
              <w:pStyle w:val="CodeBlock"/>
            </w:pPr>
            <w:r>
              <w:t xml:space="preserve">       -&gt; probe embedding dimension</w:t>
            </w:r>
          </w:p>
          <w:p>
            <w:pPr>
              <w:pStyle w:val="CodeBlock"/>
            </w:pPr>
            <w:r>
              <w:t xml:space="preserve">       -&gt; read PDF -&gt; normalize -&gt; chunk -&gt; embed -&gt; store</w:t>
            </w:r>
          </w:p>
          <w:p>
            <w:pPr>
              <w:pStyle w:val="CodeBlock"/>
            </w:pPr>
            <w:r>
              <w:t xml:space="preserve">  -&gt; SearchAsync(question)</w:t>
            </w:r>
          </w:p>
          <w:p>
            <w:pPr>
              <w:pStyle w:val="CodeBlock"/>
            </w:pPr>
            <w:r>
              <w:t xml:space="preserve">       -&gt; embed question -&gt; vector search -&gt; print top 3</w:t>
            </w:r>
          </w:p>
          <w:p>
            <w:pPr>
              <w:pStyle w:val="CodeBlock"/>
            </w:pPr>
            <w:r>
              <w:t xml:space="preserve">  -&gt; dispose pipeline and vector store</w:t>
            </w:r>
          </w:p>
        </w:tc>
      </w:tr>
    </w:tbl>
    <w:p>
      <w:pPr>
        <w:spacing w:after="20"/>
      </w:pPr>
    </w:p>
    <w:p>
      <w:pPr>
        <w:pStyle w:val="Heading2"/>
      </w:pPr>
      <w:r>
        <w:t>Why dependency injection matters</w:t>
      </w:r>
    </w:p>
    <w:p>
      <w:r>
        <w:t>Program.cs composes the application but does not implement PDF extraction, provider selection, ingestion, or search. This makes each responsibility testable and replaceable. For example, a future native Microsoft PDF reader could replace PdfPigDocumentReader without changing the chunker or search service.</w:t>
      </w:r>
    </w:p>
    <w:p>
      <w:pPr>
        <w:pStyle w:val="Heading1"/>
      </w:pPr>
      <w:r>
        <w:t>4. Project structure</w:t>
      </w:r>
    </w:p>
    <w:tbl>
      <w:tblPr>
        <w:tblStyle w:val="TableGrid"/>
        <w:tblW w:type="dxa" w:w="9360"/>
        <w:jc w:val="left"/>
        <w:tblLayout w:type="fixed"/>
        <w:tblLook w:firstColumn="1" w:firstRow="1" w:lastColumn="0" w:lastRow="0" w:noHBand="0" w:noVBand="1" w:val="04A0"/>
        <w:tblInd w:w="120" w:type="dxa"/>
      </w:tblPr>
      <w:tblGrid>
        <w:gridCol w:w="1350"/>
        <w:gridCol w:w="3050"/>
        <w:gridCol w:w="4960"/>
      </w:tblGrid>
      <w:tr>
        <w:trPr>
          <w:tblHeader w:val="true"/>
          <w:cantSplit/>
        </w:trPr>
        <w:tc>
          <w:tcPr>
            <w:tcW w:type="dxa" w:w="1350"/>
            <w:shd w:fill="E8EEF5"/>
            <w:vAlign w:val="center"/>
            <w:tcMar>
              <w:top w:w="90" w:type="dxa"/>
              <w:start w:w="120" w:type="dxa"/>
              <w:bottom w:w="90" w:type="dxa"/>
              <w:end w:w="120" w:type="dxa"/>
            </w:tcMar>
          </w:tcPr>
          <w:p>
            <w:pPr>
              <w:spacing w:after="0"/>
            </w:pPr>
            <w:r>
              <w:rPr>
                <w:b/>
                <w:color w:val="0B2545"/>
              </w:rPr>
              <w:t>Area</w:t>
            </w:r>
          </w:p>
        </w:tc>
        <w:tc>
          <w:tcPr>
            <w:tcW w:type="dxa" w:w="3050"/>
            <w:shd w:fill="E8EEF5"/>
            <w:vAlign w:val="center"/>
            <w:tcMar>
              <w:top w:w="90" w:type="dxa"/>
              <w:start w:w="120" w:type="dxa"/>
              <w:bottom w:w="90" w:type="dxa"/>
              <w:end w:w="120" w:type="dxa"/>
            </w:tcMar>
          </w:tcPr>
          <w:p>
            <w:pPr>
              <w:spacing w:after="0"/>
            </w:pPr>
            <w:r>
              <w:rPr>
                <w:b/>
                <w:color w:val="0B2545"/>
              </w:rPr>
              <w:t>File</w:t>
            </w:r>
          </w:p>
        </w:tc>
        <w:tc>
          <w:tcPr>
            <w:tcW w:type="dxa" w:w="4960"/>
            <w:shd w:fill="E8EEF5"/>
            <w:vAlign w:val="center"/>
            <w:tcMar>
              <w:top w:w="90" w:type="dxa"/>
              <w:start w:w="120" w:type="dxa"/>
              <w:bottom w:w="90" w:type="dxa"/>
              <w:end w:w="120" w:type="dxa"/>
            </w:tcMar>
          </w:tcPr>
          <w:p>
            <w:pPr>
              <w:spacing w:after="0"/>
            </w:pPr>
            <w:r>
              <w:rPr>
                <w:b/>
                <w:color w:val="0B2545"/>
              </w:rPr>
              <w:t>Responsibility</w:t>
            </w:r>
          </w:p>
        </w:tc>
      </w:tr>
      <w:tr>
        <w:trPr>
          <w:cantSplit/>
        </w:trPr>
        <w:tc>
          <w:tcPr>
            <w:tcW w:type="dxa" w:w="1350"/>
            <w:vAlign w:val="center"/>
            <w:tcMar>
              <w:top w:w="90" w:type="dxa"/>
              <w:start w:w="120" w:type="dxa"/>
              <w:bottom w:w="90" w:type="dxa"/>
              <w:end w:w="120" w:type="dxa"/>
            </w:tcMar>
          </w:tcPr>
          <w:p>
            <w:pPr>
              <w:spacing w:after="0" w:line="264" w:lineRule="auto"/>
            </w:pPr>
            <w:r>
              <w:t>Entry point</w:t>
            </w:r>
          </w:p>
        </w:tc>
        <w:tc>
          <w:tcPr>
            <w:tcW w:type="dxa" w:w="3050"/>
            <w:vAlign w:val="center"/>
            <w:tcMar>
              <w:top w:w="90" w:type="dxa"/>
              <w:start w:w="120" w:type="dxa"/>
              <w:bottom w:w="90" w:type="dxa"/>
              <w:end w:w="120" w:type="dxa"/>
            </w:tcMar>
          </w:tcPr>
          <w:p>
            <w:pPr>
              <w:spacing w:after="0" w:line="264" w:lineRule="auto"/>
            </w:pPr>
            <w:r>
              <w:t>Program.cs</w:t>
            </w:r>
          </w:p>
        </w:tc>
        <w:tc>
          <w:tcPr>
            <w:tcW w:type="dxa" w:w="4960"/>
            <w:vAlign w:val="center"/>
            <w:tcMar>
              <w:top w:w="90" w:type="dxa"/>
              <w:start w:w="120" w:type="dxa"/>
              <w:bottom w:w="90" w:type="dxa"/>
              <w:end w:w="120" w:type="dxa"/>
            </w:tcMar>
          </w:tcPr>
          <w:p>
            <w:pPr>
              <w:spacing w:after="0" w:line="264" w:lineRule="auto"/>
            </w:pPr>
            <w:r>
              <w:t>Host, logging, DI, application mode, lifecycle.</w:t>
            </w:r>
          </w:p>
        </w:tc>
      </w:tr>
      <w:tr>
        <w:trPr>
          <w:cantSplit/>
        </w:trPr>
        <w:tc>
          <w:tcPr>
            <w:tcW w:type="dxa" w:w="1350"/>
            <w:vAlign w:val="center"/>
            <w:tcMar>
              <w:top w:w="90" w:type="dxa"/>
              <w:start w:w="120" w:type="dxa"/>
              <w:bottom w:w="90" w:type="dxa"/>
              <w:end w:w="120" w:type="dxa"/>
            </w:tcMar>
          </w:tcPr>
          <w:p>
            <w:pPr>
              <w:spacing w:after="0" w:line="264" w:lineRule="auto"/>
            </w:pPr>
            <w:r>
              <w:t>Configuration</w:t>
            </w:r>
          </w:p>
        </w:tc>
        <w:tc>
          <w:tcPr>
            <w:tcW w:type="dxa" w:w="3050"/>
            <w:vAlign w:val="center"/>
            <w:tcMar>
              <w:top w:w="90" w:type="dxa"/>
              <w:start w:w="120" w:type="dxa"/>
              <w:bottom w:w="90" w:type="dxa"/>
              <w:end w:w="120" w:type="dxa"/>
            </w:tcMar>
          </w:tcPr>
          <w:p>
            <w:pPr>
              <w:spacing w:after="0" w:line="264" w:lineRule="auto"/>
            </w:pPr>
            <w:r>
              <w:t>Configuration/EnvFile.cs</w:t>
            </w:r>
          </w:p>
        </w:tc>
        <w:tc>
          <w:tcPr>
            <w:tcW w:type="dxa" w:w="4960"/>
            <w:vAlign w:val="center"/>
            <w:tcMar>
              <w:top w:w="90" w:type="dxa"/>
              <w:start w:w="120" w:type="dxa"/>
              <w:bottom w:w="90" w:type="dxa"/>
              <w:end w:w="120" w:type="dxa"/>
            </w:tcMar>
          </w:tcPr>
          <w:p>
            <w:pPr>
              <w:spacing w:after="0" w:line="264" w:lineRule="auto"/>
            </w:pPr>
            <w:r>
              <w:t>Minimal .env parsing with helpful format/missing-file errors.</w:t>
            </w:r>
          </w:p>
        </w:tc>
      </w:tr>
      <w:tr>
        <w:trPr>
          <w:cantSplit/>
        </w:trPr>
        <w:tc>
          <w:tcPr>
            <w:tcW w:type="dxa" w:w="1350"/>
            <w:vAlign w:val="center"/>
            <w:tcMar>
              <w:top w:w="90" w:type="dxa"/>
              <w:start w:w="120" w:type="dxa"/>
              <w:bottom w:w="90" w:type="dxa"/>
              <w:end w:w="120" w:type="dxa"/>
            </w:tcMar>
          </w:tcPr>
          <w:p>
            <w:pPr>
              <w:spacing w:after="0" w:line="264" w:lineRule="auto"/>
            </w:pPr>
            <w:r>
              <w:t>Configuration</w:t>
            </w:r>
          </w:p>
        </w:tc>
        <w:tc>
          <w:tcPr>
            <w:tcW w:type="dxa" w:w="3050"/>
            <w:vAlign w:val="center"/>
            <w:tcMar>
              <w:top w:w="90" w:type="dxa"/>
              <w:start w:w="120" w:type="dxa"/>
              <w:bottom w:w="90" w:type="dxa"/>
              <w:end w:w="120" w:type="dxa"/>
            </w:tcMar>
          </w:tcPr>
          <w:p>
            <w:pPr>
              <w:spacing w:after="0" w:line="264" w:lineRule="auto"/>
            </w:pPr>
            <w:r>
              <w:t>Configuration/AiOptions.cs</w:t>
            </w:r>
          </w:p>
        </w:tc>
        <w:tc>
          <w:tcPr>
            <w:tcW w:type="dxa" w:w="4960"/>
            <w:vAlign w:val="center"/>
            <w:tcMar>
              <w:top w:w="90" w:type="dxa"/>
              <w:start w:w="120" w:type="dxa"/>
              <w:bottom w:w="90" w:type="dxa"/>
              <w:end w:w="120" w:type="dxa"/>
            </w:tcMar>
          </w:tcPr>
          <w:p>
            <w:pPr>
              <w:spacing w:after="0" w:line="264" w:lineRule="auto"/>
            </w:pPr>
            <w:r>
              <w:t>Strongly typed provider settings.</w:t>
            </w:r>
          </w:p>
        </w:tc>
      </w:tr>
      <w:tr>
        <w:trPr>
          <w:cantSplit/>
        </w:trPr>
        <w:tc>
          <w:tcPr>
            <w:tcW w:type="dxa" w:w="1350"/>
            <w:vAlign w:val="center"/>
            <w:tcMar>
              <w:top w:w="90" w:type="dxa"/>
              <w:start w:w="120" w:type="dxa"/>
              <w:bottom w:w="90" w:type="dxa"/>
              <w:end w:w="120" w:type="dxa"/>
            </w:tcMar>
          </w:tcPr>
          <w:p>
            <w:pPr>
              <w:spacing w:after="0" w:line="264" w:lineRule="auto"/>
            </w:pPr>
            <w:r>
              <w:t>Configuration</w:t>
            </w:r>
          </w:p>
        </w:tc>
        <w:tc>
          <w:tcPr>
            <w:tcW w:type="dxa" w:w="3050"/>
            <w:vAlign w:val="center"/>
            <w:tcMar>
              <w:top w:w="90" w:type="dxa"/>
              <w:start w:w="120" w:type="dxa"/>
              <w:bottom w:w="90" w:type="dxa"/>
              <w:end w:w="120" w:type="dxa"/>
            </w:tcMar>
          </w:tcPr>
          <w:p>
            <w:pPr>
              <w:spacing w:after="0" w:line="264" w:lineRule="auto"/>
            </w:pPr>
            <w:r>
              <w:t>Configuration/AiOptionsValidator.cs</w:t>
            </w:r>
          </w:p>
        </w:tc>
        <w:tc>
          <w:tcPr>
            <w:tcW w:type="dxa" w:w="4960"/>
            <w:vAlign w:val="center"/>
            <w:tcMar>
              <w:top w:w="90" w:type="dxa"/>
              <w:start w:w="120" w:type="dxa"/>
              <w:bottom w:w="90" w:type="dxa"/>
              <w:end w:w="120" w:type="dxa"/>
            </w:tcMar>
          </w:tcPr>
          <w:p>
            <w:pPr>
              <w:spacing w:after="0" w:line="264" w:lineRule="auto"/>
            </w:pPr>
            <w:r>
              <w:t>Provider-specific required fields and endpoint validation.</w:t>
            </w:r>
          </w:p>
        </w:tc>
      </w:tr>
      <w:tr>
        <w:trPr>
          <w:cantSplit/>
        </w:trPr>
        <w:tc>
          <w:tcPr>
            <w:tcW w:type="dxa" w:w="1350"/>
            <w:vAlign w:val="center"/>
            <w:tcMar>
              <w:top w:w="90" w:type="dxa"/>
              <w:start w:w="120" w:type="dxa"/>
              <w:bottom w:w="90" w:type="dxa"/>
              <w:end w:w="120" w:type="dxa"/>
            </w:tcMar>
          </w:tcPr>
          <w:p>
            <w:pPr>
              <w:spacing w:after="0" w:line="264" w:lineRule="auto"/>
            </w:pPr>
            <w:r>
              <w:t>Services</w:t>
            </w:r>
          </w:p>
        </w:tc>
        <w:tc>
          <w:tcPr>
            <w:tcW w:type="dxa" w:w="3050"/>
            <w:vAlign w:val="center"/>
            <w:tcMar>
              <w:top w:w="90" w:type="dxa"/>
              <w:start w:w="120" w:type="dxa"/>
              <w:bottom w:w="90" w:type="dxa"/>
              <w:end w:w="120" w:type="dxa"/>
            </w:tcMar>
          </w:tcPr>
          <w:p>
            <w:pPr>
              <w:spacing w:after="0" w:line="264" w:lineRule="auto"/>
            </w:pPr>
            <w:r>
              <w:t>Services/EmbeddingGeneratorFactory.cs</w:t>
            </w:r>
          </w:p>
        </w:tc>
        <w:tc>
          <w:tcPr>
            <w:tcW w:type="dxa" w:w="4960"/>
            <w:vAlign w:val="center"/>
            <w:tcMar>
              <w:top w:w="90" w:type="dxa"/>
              <w:start w:w="120" w:type="dxa"/>
              <w:bottom w:w="90" w:type="dxa"/>
              <w:end w:w="120" w:type="dxa"/>
            </w:tcMar>
          </w:tcPr>
          <w:p>
            <w:pPr>
              <w:spacing w:after="0" w:line="264" w:lineRule="auto"/>
            </w:pPr>
            <w:r>
              <w:t>Azure or Ollama embedding client creation.</w:t>
            </w:r>
          </w:p>
        </w:tc>
      </w:tr>
      <w:tr>
        <w:trPr>
          <w:cantSplit/>
        </w:trPr>
        <w:tc>
          <w:tcPr>
            <w:tcW w:type="dxa" w:w="1350"/>
            <w:vAlign w:val="center"/>
            <w:tcMar>
              <w:top w:w="90" w:type="dxa"/>
              <w:start w:w="120" w:type="dxa"/>
              <w:bottom w:w="90" w:type="dxa"/>
              <w:end w:w="120" w:type="dxa"/>
            </w:tcMar>
          </w:tcPr>
          <w:p>
            <w:pPr>
              <w:spacing w:after="0" w:line="264" w:lineRule="auto"/>
            </w:pPr>
            <w:r>
              <w:t>Ingestion</w:t>
            </w:r>
          </w:p>
        </w:tc>
        <w:tc>
          <w:tcPr>
            <w:tcW w:type="dxa" w:w="3050"/>
            <w:vAlign w:val="center"/>
            <w:tcMar>
              <w:top w:w="90" w:type="dxa"/>
              <w:start w:w="120" w:type="dxa"/>
              <w:bottom w:w="90" w:type="dxa"/>
              <w:end w:w="120" w:type="dxa"/>
            </w:tcMar>
          </w:tcPr>
          <w:p>
            <w:pPr>
              <w:spacing w:after="0" w:line="264" w:lineRule="auto"/>
            </w:pPr>
            <w:r>
              <w:t>Ingestion/PdfPigDocumentReader.cs</w:t>
            </w:r>
          </w:p>
        </w:tc>
        <w:tc>
          <w:tcPr>
            <w:tcW w:type="dxa" w:w="4960"/>
            <w:vAlign w:val="center"/>
            <w:tcMar>
              <w:top w:w="90" w:type="dxa"/>
              <w:start w:w="120" w:type="dxa"/>
              <w:bottom w:w="90" w:type="dxa"/>
              <w:end w:w="120" w:type="dxa"/>
            </w:tcMar>
          </w:tcPr>
          <w:p>
            <w:pPr>
              <w:spacing w:after="0" w:line="264" w:lineRule="auto"/>
            </w:pPr>
            <w:r>
              <w:t>PDF extraction and normalization.</w:t>
            </w:r>
          </w:p>
        </w:tc>
      </w:tr>
      <w:tr>
        <w:trPr>
          <w:cantSplit/>
        </w:trPr>
        <w:tc>
          <w:tcPr>
            <w:tcW w:type="dxa" w:w="1350"/>
            <w:vAlign w:val="center"/>
            <w:tcMar>
              <w:top w:w="90" w:type="dxa"/>
              <w:start w:w="120" w:type="dxa"/>
              <w:bottom w:w="90" w:type="dxa"/>
              <w:end w:w="120" w:type="dxa"/>
            </w:tcMar>
          </w:tcPr>
          <w:p>
            <w:pPr>
              <w:spacing w:after="0" w:line="264" w:lineRule="auto"/>
            </w:pPr>
            <w:r>
              <w:t>Ingestion</w:t>
            </w:r>
          </w:p>
        </w:tc>
        <w:tc>
          <w:tcPr>
            <w:tcW w:type="dxa" w:w="3050"/>
            <w:vAlign w:val="center"/>
            <w:tcMar>
              <w:top w:w="90" w:type="dxa"/>
              <w:start w:w="120" w:type="dxa"/>
              <w:bottom w:w="90" w:type="dxa"/>
              <w:end w:w="120" w:type="dxa"/>
            </w:tcMar>
          </w:tcPr>
          <w:p>
            <w:pPr>
              <w:spacing w:after="0" w:line="264" w:lineRule="auto"/>
            </w:pPr>
            <w:r>
              <w:t>Ingestion/CountingVectorStoreWriter.cs</w:t>
            </w:r>
          </w:p>
        </w:tc>
        <w:tc>
          <w:tcPr>
            <w:tcW w:type="dxa" w:w="4960"/>
            <w:vAlign w:val="center"/>
            <w:tcMar>
              <w:top w:w="90" w:type="dxa"/>
              <w:start w:w="120" w:type="dxa"/>
              <w:bottom w:w="90" w:type="dxa"/>
              <w:end w:w="120" w:type="dxa"/>
            </w:tcMar>
          </w:tcPr>
          <w:p>
            <w:pPr>
              <w:spacing w:after="0" w:line="264" w:lineRule="auto"/>
            </w:pPr>
            <w:r>
              <w:t>VectorStoreWriter adapter that counts chunks.</w:t>
            </w:r>
          </w:p>
        </w:tc>
      </w:tr>
      <w:tr>
        <w:trPr>
          <w:cantSplit/>
        </w:trPr>
        <w:tc>
          <w:tcPr>
            <w:tcW w:type="dxa" w:w="1350"/>
            <w:vAlign w:val="center"/>
            <w:tcMar>
              <w:top w:w="90" w:type="dxa"/>
              <w:start w:w="120" w:type="dxa"/>
              <w:bottom w:w="90" w:type="dxa"/>
              <w:end w:w="120" w:type="dxa"/>
            </w:tcMar>
          </w:tcPr>
          <w:p>
            <w:pPr>
              <w:spacing w:after="0" w:line="264" w:lineRule="auto"/>
            </w:pPr>
            <w:r>
              <w:t>Services</w:t>
            </w:r>
          </w:p>
        </w:tc>
        <w:tc>
          <w:tcPr>
            <w:tcW w:type="dxa" w:w="3050"/>
            <w:vAlign w:val="center"/>
            <w:tcMar>
              <w:top w:w="90" w:type="dxa"/>
              <w:start w:w="120" w:type="dxa"/>
              <w:bottom w:w="90" w:type="dxa"/>
              <w:end w:w="120" w:type="dxa"/>
            </w:tcMar>
          </w:tcPr>
          <w:p>
            <w:pPr>
              <w:spacing w:after="0" w:line="264" w:lineRule="auto"/>
            </w:pPr>
            <w:r>
              <w:t>Services/DocumentSearchService.cs</w:t>
            </w:r>
          </w:p>
        </w:tc>
        <w:tc>
          <w:tcPr>
            <w:tcW w:type="dxa" w:w="4960"/>
            <w:vAlign w:val="center"/>
            <w:tcMar>
              <w:top w:w="90" w:type="dxa"/>
              <w:start w:w="120" w:type="dxa"/>
              <w:bottom w:w="90" w:type="dxa"/>
              <w:end w:w="120" w:type="dxa"/>
            </w:tcMar>
          </w:tcPr>
          <w:p>
            <w:pPr>
              <w:spacing w:after="0" w:line="264" w:lineRule="auto"/>
            </w:pPr>
            <w:r>
              <w:t>Document discovery, pipeline composition, ingestion, and search.</w:t>
            </w:r>
          </w:p>
        </w:tc>
      </w:tr>
      <w:tr>
        <w:trPr>
          <w:cantSplit/>
        </w:trPr>
        <w:tc>
          <w:tcPr>
            <w:tcW w:type="dxa" w:w="1350"/>
            <w:vAlign w:val="center"/>
            <w:tcMar>
              <w:top w:w="90" w:type="dxa"/>
              <w:start w:w="120" w:type="dxa"/>
              <w:bottom w:w="90" w:type="dxa"/>
              <w:end w:w="120" w:type="dxa"/>
            </w:tcMar>
          </w:tcPr>
          <w:p>
            <w:pPr>
              <w:spacing w:after="0" w:line="264" w:lineRule="auto"/>
            </w:pPr>
            <w:r>
              <w:t>Project</w:t>
            </w:r>
          </w:p>
        </w:tc>
        <w:tc>
          <w:tcPr>
            <w:tcW w:type="dxa" w:w="3050"/>
            <w:vAlign w:val="center"/>
            <w:tcMar>
              <w:top w:w="90" w:type="dxa"/>
              <w:start w:w="120" w:type="dxa"/>
              <w:bottom w:w="90" w:type="dxa"/>
              <w:end w:w="120" w:type="dxa"/>
            </w:tcMar>
          </w:tcPr>
          <w:p>
            <w:pPr>
              <w:spacing w:after="0" w:line="264" w:lineRule="auto"/>
            </w:pPr>
            <w:r>
              <w:t>ProcessDataAI.csproj</w:t>
            </w:r>
          </w:p>
        </w:tc>
        <w:tc>
          <w:tcPr>
            <w:tcW w:type="dxa" w:w="4960"/>
            <w:vAlign w:val="center"/>
            <w:tcMar>
              <w:top w:w="90" w:type="dxa"/>
              <w:start w:w="120" w:type="dxa"/>
              <w:bottom w:w="90" w:type="dxa"/>
              <w:end w:w="120" w:type="dxa"/>
            </w:tcMar>
          </w:tcPr>
          <w:p>
            <w:pPr>
              <w:spacing w:after="0" w:line="264" w:lineRule="auto"/>
            </w:pPr>
            <w:r>
              <w:t>Target framework and NuGet dependencies.</w:t>
            </w:r>
          </w:p>
        </w:tc>
      </w:tr>
    </w:tbl>
    <w:p>
      <w:pPr>
        <w:spacing w:after="20"/>
      </w:pPr>
    </w:p>
    <w:p>
      <w:r>
        <w:br w:type="page"/>
      </w:r>
    </w:p>
    <w:p>
      <w:pPr>
        <w:pStyle w:val="Heading1"/>
      </w:pPr>
      <w:r>
        <w:t>5. Dependencies and why they exist</w:t>
      </w:r>
    </w:p>
    <w:tbl>
      <w:tblPr>
        <w:tblStyle w:val="TableGrid"/>
        <w:tblW w:type="dxa" w:w="9360"/>
        <w:jc w:val="left"/>
        <w:tblLayout w:type="fixed"/>
        <w:tblLook w:firstColumn="1" w:firstRow="1" w:lastColumn="0" w:lastRow="0" w:noHBand="0" w:noVBand="1" w:val="04A0"/>
        <w:tblInd w:w="120" w:type="dxa"/>
      </w:tblPr>
      <w:tblGrid>
        <w:gridCol w:w="3750"/>
        <w:gridCol w:w="2450"/>
        <w:gridCol w:w="3160"/>
      </w:tblGrid>
      <w:tr>
        <w:trPr>
          <w:tblHeader w:val="true"/>
          <w:cantSplit/>
        </w:trPr>
        <w:tc>
          <w:tcPr>
            <w:tcW w:type="dxa" w:w="3750"/>
            <w:shd w:fill="E8EEF5"/>
            <w:vAlign w:val="center"/>
            <w:tcMar>
              <w:top w:w="90" w:type="dxa"/>
              <w:start w:w="120" w:type="dxa"/>
              <w:bottom w:w="90" w:type="dxa"/>
              <w:end w:w="120" w:type="dxa"/>
            </w:tcMar>
          </w:tcPr>
          <w:p>
            <w:pPr>
              <w:spacing w:after="0"/>
            </w:pPr>
            <w:r>
              <w:rPr>
                <w:b/>
                <w:color w:val="0B2545"/>
              </w:rPr>
              <w:t>Package</w:t>
            </w:r>
          </w:p>
        </w:tc>
        <w:tc>
          <w:tcPr>
            <w:tcW w:type="dxa" w:w="2450"/>
            <w:shd w:fill="E8EEF5"/>
            <w:vAlign w:val="center"/>
            <w:tcMar>
              <w:top w:w="90" w:type="dxa"/>
              <w:start w:w="120" w:type="dxa"/>
              <w:bottom w:w="90" w:type="dxa"/>
              <w:end w:w="120" w:type="dxa"/>
            </w:tcMar>
          </w:tcPr>
          <w:p>
            <w:pPr>
              <w:spacing w:after="0"/>
            </w:pPr>
            <w:r>
              <w:rPr>
                <w:b/>
                <w:color w:val="0B2545"/>
              </w:rPr>
              <w:t>Version</w:t>
            </w:r>
          </w:p>
        </w:tc>
        <w:tc>
          <w:tcPr>
            <w:tcW w:type="dxa" w:w="3160"/>
            <w:shd w:fill="E8EEF5"/>
            <w:vAlign w:val="center"/>
            <w:tcMar>
              <w:top w:w="90" w:type="dxa"/>
              <w:start w:w="120" w:type="dxa"/>
              <w:bottom w:w="90" w:type="dxa"/>
              <w:end w:w="120" w:type="dxa"/>
            </w:tcMar>
          </w:tcPr>
          <w:p>
            <w:pPr>
              <w:spacing w:after="0"/>
            </w:pPr>
            <w:r>
              <w:rPr>
                <w:b/>
                <w:color w:val="0B2545"/>
              </w:rPr>
              <w:t>Role</w:t>
            </w:r>
          </w:p>
        </w:tc>
      </w:tr>
      <w:tr>
        <w:trPr>
          <w:cantSplit/>
        </w:trPr>
        <w:tc>
          <w:tcPr>
            <w:tcW w:type="dxa" w:w="3750"/>
            <w:vAlign w:val="center"/>
            <w:tcMar>
              <w:top w:w="90" w:type="dxa"/>
              <w:start w:w="120" w:type="dxa"/>
              <w:bottom w:w="90" w:type="dxa"/>
              <w:end w:w="120" w:type="dxa"/>
            </w:tcMar>
          </w:tcPr>
          <w:p>
            <w:pPr>
              <w:spacing w:after="0" w:line="264" w:lineRule="auto"/>
            </w:pPr>
            <w:r>
              <w:t>Microsoft.Extensions.DataIngestion</w:t>
            </w:r>
          </w:p>
        </w:tc>
        <w:tc>
          <w:tcPr>
            <w:tcW w:type="dxa" w:w="2450"/>
            <w:vAlign w:val="center"/>
            <w:tcMar>
              <w:top w:w="90" w:type="dxa"/>
              <w:start w:w="120" w:type="dxa"/>
              <w:bottom w:w="90" w:type="dxa"/>
              <w:end w:w="120" w:type="dxa"/>
            </w:tcMar>
          </w:tcPr>
          <w:p>
            <w:pPr>
              <w:spacing w:after="0" w:line="264" w:lineRule="auto"/>
            </w:pPr>
            <w:r>
              <w:t>10.7.0-preview.1.26309.5</w:t>
            </w:r>
          </w:p>
        </w:tc>
        <w:tc>
          <w:tcPr>
            <w:tcW w:type="dxa" w:w="3160"/>
            <w:vAlign w:val="center"/>
            <w:tcMar>
              <w:top w:w="90" w:type="dxa"/>
              <w:start w:w="120" w:type="dxa"/>
              <w:bottom w:w="90" w:type="dxa"/>
              <w:end w:w="120" w:type="dxa"/>
            </w:tcMar>
          </w:tcPr>
          <w:p>
            <w:pPr>
              <w:spacing w:after="0" w:line="264" w:lineRule="auto"/>
            </w:pPr>
            <w:r>
              <w:t>Document model, chunker, pipeline, result, and vector writer.</w:t>
            </w:r>
          </w:p>
        </w:tc>
      </w:tr>
      <w:tr>
        <w:trPr>
          <w:cantSplit/>
        </w:trPr>
        <w:tc>
          <w:tcPr>
            <w:tcW w:type="dxa" w:w="3750"/>
            <w:vAlign w:val="center"/>
            <w:tcMar>
              <w:top w:w="90" w:type="dxa"/>
              <w:start w:w="120" w:type="dxa"/>
              <w:bottom w:w="90" w:type="dxa"/>
              <w:end w:w="120" w:type="dxa"/>
            </w:tcMar>
          </w:tcPr>
          <w:p>
            <w:pPr>
              <w:spacing w:after="0" w:line="264" w:lineRule="auto"/>
            </w:pPr>
            <w:r>
              <w:t>Microsoft.Extensions.AI.OpenAI</w:t>
            </w:r>
          </w:p>
        </w:tc>
        <w:tc>
          <w:tcPr>
            <w:tcW w:type="dxa" w:w="2450"/>
            <w:vAlign w:val="center"/>
            <w:tcMar>
              <w:top w:w="90" w:type="dxa"/>
              <w:start w:w="120" w:type="dxa"/>
              <w:bottom w:w="90" w:type="dxa"/>
              <w:end w:w="120" w:type="dxa"/>
            </w:tcMar>
          </w:tcPr>
          <w:p>
            <w:pPr>
              <w:spacing w:after="0" w:line="264" w:lineRule="auto"/>
            </w:pPr>
            <w:r>
              <w:t>10.7.0</w:t>
            </w:r>
          </w:p>
        </w:tc>
        <w:tc>
          <w:tcPr>
            <w:tcW w:type="dxa" w:w="3160"/>
            <w:vAlign w:val="center"/>
            <w:tcMar>
              <w:top w:w="90" w:type="dxa"/>
              <w:start w:w="120" w:type="dxa"/>
              <w:bottom w:w="90" w:type="dxa"/>
              <w:end w:w="120" w:type="dxa"/>
            </w:tcMar>
          </w:tcPr>
          <w:p>
            <w:pPr>
              <w:spacing w:after="0" w:line="264" w:lineRule="auto"/>
            </w:pPr>
            <w:r>
              <w:t>Adapts OpenAI SDK embedding clients to IEmbeddingGenerator.</w:t>
            </w:r>
          </w:p>
        </w:tc>
      </w:tr>
      <w:tr>
        <w:trPr>
          <w:cantSplit/>
        </w:trPr>
        <w:tc>
          <w:tcPr>
            <w:tcW w:type="dxa" w:w="3750"/>
            <w:vAlign w:val="center"/>
            <w:tcMar>
              <w:top w:w="90" w:type="dxa"/>
              <w:start w:w="120" w:type="dxa"/>
              <w:bottom w:w="90" w:type="dxa"/>
              <w:end w:w="120" w:type="dxa"/>
            </w:tcMar>
          </w:tcPr>
          <w:p>
            <w:pPr>
              <w:spacing w:after="0" w:line="264" w:lineRule="auto"/>
            </w:pPr>
            <w:r>
              <w:t>Microsoft.Extensions.VectorData</w:t>
            </w:r>
          </w:p>
        </w:tc>
        <w:tc>
          <w:tcPr>
            <w:tcW w:type="dxa" w:w="2450"/>
            <w:vAlign w:val="center"/>
            <w:tcMar>
              <w:top w:w="90" w:type="dxa"/>
              <w:start w:w="120" w:type="dxa"/>
              <w:bottom w:w="90" w:type="dxa"/>
              <w:end w:w="120" w:type="dxa"/>
            </w:tcMar>
          </w:tcPr>
          <w:p>
            <w:pPr>
              <w:spacing w:after="0" w:line="264" w:lineRule="auto"/>
            </w:pPr>
            <w:r>
              <w:t>Transitive</w:t>
            </w:r>
          </w:p>
        </w:tc>
        <w:tc>
          <w:tcPr>
            <w:tcW w:type="dxa" w:w="3160"/>
            <w:vAlign w:val="center"/>
            <w:tcMar>
              <w:top w:w="90" w:type="dxa"/>
              <w:start w:w="120" w:type="dxa"/>
              <w:bottom w:w="90" w:type="dxa"/>
              <w:end w:w="120" w:type="dxa"/>
            </w:tcMar>
          </w:tcPr>
          <w:p>
            <w:pPr>
              <w:spacing w:after="0" w:line="264" w:lineRule="auto"/>
            </w:pPr>
            <w:r>
              <w:t>Common vector-store collection and search abstractions.</w:t>
            </w:r>
          </w:p>
        </w:tc>
      </w:tr>
      <w:tr>
        <w:trPr>
          <w:cantSplit/>
        </w:trPr>
        <w:tc>
          <w:tcPr>
            <w:tcW w:type="dxa" w:w="3750"/>
            <w:vAlign w:val="center"/>
            <w:tcMar>
              <w:top w:w="90" w:type="dxa"/>
              <w:start w:w="120" w:type="dxa"/>
              <w:bottom w:w="90" w:type="dxa"/>
              <w:end w:w="120" w:type="dxa"/>
            </w:tcMar>
          </w:tcPr>
          <w:p>
            <w:pPr>
              <w:spacing w:after="0" w:line="264" w:lineRule="auto"/>
            </w:pPr>
            <w:r>
              <w:t>Microsoft.SemanticKernel.Connectors.InMemory</w:t>
            </w:r>
          </w:p>
        </w:tc>
        <w:tc>
          <w:tcPr>
            <w:tcW w:type="dxa" w:w="2450"/>
            <w:vAlign w:val="center"/>
            <w:tcMar>
              <w:top w:w="90" w:type="dxa"/>
              <w:start w:w="120" w:type="dxa"/>
              <w:bottom w:w="90" w:type="dxa"/>
              <w:end w:w="120" w:type="dxa"/>
            </w:tcMar>
          </w:tcPr>
          <w:p>
            <w:pPr>
              <w:spacing w:after="0" w:line="264" w:lineRule="auto"/>
            </w:pPr>
            <w:r>
              <w:t>1.74.0-preview</w:t>
            </w:r>
          </w:p>
        </w:tc>
        <w:tc>
          <w:tcPr>
            <w:tcW w:type="dxa" w:w="3160"/>
            <w:vAlign w:val="center"/>
            <w:tcMar>
              <w:top w:w="90" w:type="dxa"/>
              <w:start w:w="120" w:type="dxa"/>
              <w:bottom w:w="90" w:type="dxa"/>
              <w:end w:w="120" w:type="dxa"/>
            </w:tcMar>
          </w:tcPr>
          <w:p>
            <w:pPr>
              <w:spacing w:after="0" w:line="264" w:lineRule="auto"/>
            </w:pPr>
            <w:r>
              <w:t>Concrete in-memory VectorStore implementation.</w:t>
            </w:r>
          </w:p>
        </w:tc>
      </w:tr>
      <w:tr>
        <w:trPr>
          <w:cantSplit/>
        </w:trPr>
        <w:tc>
          <w:tcPr>
            <w:tcW w:type="dxa" w:w="3750"/>
            <w:vAlign w:val="center"/>
            <w:tcMar>
              <w:top w:w="90" w:type="dxa"/>
              <w:start w:w="120" w:type="dxa"/>
              <w:bottom w:w="90" w:type="dxa"/>
              <w:end w:w="120" w:type="dxa"/>
            </w:tcMar>
          </w:tcPr>
          <w:p>
            <w:pPr>
              <w:spacing w:after="0" w:line="264" w:lineRule="auto"/>
            </w:pPr>
            <w:r>
              <w:t>Azure.AI.OpenAI</w:t>
            </w:r>
          </w:p>
        </w:tc>
        <w:tc>
          <w:tcPr>
            <w:tcW w:type="dxa" w:w="2450"/>
            <w:vAlign w:val="center"/>
            <w:tcMar>
              <w:top w:w="90" w:type="dxa"/>
              <w:start w:w="120" w:type="dxa"/>
              <w:bottom w:w="90" w:type="dxa"/>
              <w:end w:w="120" w:type="dxa"/>
            </w:tcMar>
          </w:tcPr>
          <w:p>
            <w:pPr>
              <w:spacing w:after="0" w:line="264" w:lineRule="auto"/>
            </w:pPr>
            <w:r>
              <w:t>2.1.0</w:t>
            </w:r>
          </w:p>
        </w:tc>
        <w:tc>
          <w:tcPr>
            <w:tcW w:type="dxa" w:w="3160"/>
            <w:vAlign w:val="center"/>
            <w:tcMar>
              <w:top w:w="90" w:type="dxa"/>
              <w:start w:w="120" w:type="dxa"/>
              <w:bottom w:w="90" w:type="dxa"/>
              <w:end w:w="120" w:type="dxa"/>
            </w:tcMar>
          </w:tcPr>
          <w:p>
            <w:pPr>
              <w:spacing w:after="0" w:line="264" w:lineRule="auto"/>
            </w:pPr>
            <w:r>
              <w:t>AzureOpenAIClient for Azure deployments.</w:t>
            </w:r>
          </w:p>
        </w:tc>
      </w:tr>
      <w:tr>
        <w:trPr>
          <w:cantSplit/>
        </w:trPr>
        <w:tc>
          <w:tcPr>
            <w:tcW w:type="dxa" w:w="3750"/>
            <w:vAlign w:val="center"/>
            <w:tcMar>
              <w:top w:w="90" w:type="dxa"/>
              <w:start w:w="120" w:type="dxa"/>
              <w:bottom w:w="90" w:type="dxa"/>
              <w:end w:w="120" w:type="dxa"/>
            </w:tcMar>
          </w:tcPr>
          <w:p>
            <w:pPr>
              <w:spacing w:after="0" w:line="264" w:lineRule="auto"/>
            </w:pPr>
            <w:r>
              <w:t>PdfPig</w:t>
            </w:r>
          </w:p>
        </w:tc>
        <w:tc>
          <w:tcPr>
            <w:tcW w:type="dxa" w:w="2450"/>
            <w:vAlign w:val="center"/>
            <w:tcMar>
              <w:top w:w="90" w:type="dxa"/>
              <w:start w:w="120" w:type="dxa"/>
              <w:bottom w:w="90" w:type="dxa"/>
              <w:end w:w="120" w:type="dxa"/>
            </w:tcMar>
          </w:tcPr>
          <w:p>
            <w:pPr>
              <w:spacing w:after="0" w:line="264" w:lineRule="auto"/>
            </w:pPr>
            <w:r>
              <w:t>0.1.12</w:t>
            </w:r>
          </w:p>
        </w:tc>
        <w:tc>
          <w:tcPr>
            <w:tcW w:type="dxa" w:w="3160"/>
            <w:vAlign w:val="center"/>
            <w:tcMar>
              <w:top w:w="90" w:type="dxa"/>
              <w:start w:w="120" w:type="dxa"/>
              <w:bottom w:w="90" w:type="dxa"/>
              <w:end w:w="120" w:type="dxa"/>
            </w:tcMar>
          </w:tcPr>
          <w:p>
            <w:pPr>
              <w:spacing w:after="0" w:line="264" w:lineRule="auto"/>
            </w:pPr>
            <w:r>
              <w:t>Local PDF text extraction without OCR.</w:t>
            </w:r>
          </w:p>
        </w:tc>
      </w:tr>
      <w:tr>
        <w:trPr>
          <w:cantSplit/>
        </w:trPr>
        <w:tc>
          <w:tcPr>
            <w:tcW w:type="dxa" w:w="3750"/>
            <w:vAlign w:val="center"/>
            <w:tcMar>
              <w:top w:w="90" w:type="dxa"/>
              <w:start w:w="120" w:type="dxa"/>
              <w:bottom w:w="90" w:type="dxa"/>
              <w:end w:w="120" w:type="dxa"/>
            </w:tcMar>
          </w:tcPr>
          <w:p>
            <w:pPr>
              <w:spacing w:after="0" w:line="264" w:lineRule="auto"/>
            </w:pPr>
            <w:r>
              <w:t>Microsoft.ML.Tokenizers.Data.O200kBase</w:t>
            </w:r>
          </w:p>
        </w:tc>
        <w:tc>
          <w:tcPr>
            <w:tcW w:type="dxa" w:w="2450"/>
            <w:vAlign w:val="center"/>
            <w:tcMar>
              <w:top w:w="90" w:type="dxa"/>
              <w:start w:w="120" w:type="dxa"/>
              <w:bottom w:w="90" w:type="dxa"/>
              <w:end w:w="120" w:type="dxa"/>
            </w:tcMar>
          </w:tcPr>
          <w:p>
            <w:pPr>
              <w:spacing w:after="0" w:line="264" w:lineRule="auto"/>
            </w:pPr>
            <w:r>
              <w:t>2.0.0</w:t>
            </w:r>
          </w:p>
        </w:tc>
        <w:tc>
          <w:tcPr>
            <w:tcW w:type="dxa" w:w="3160"/>
            <w:vAlign w:val="center"/>
            <w:tcMar>
              <w:top w:w="90" w:type="dxa"/>
              <w:start w:w="120" w:type="dxa"/>
              <w:bottom w:w="90" w:type="dxa"/>
              <w:end w:w="120" w:type="dxa"/>
            </w:tcMar>
          </w:tcPr>
          <w:p>
            <w:pPr>
              <w:spacing w:after="0" w:line="264" w:lineRule="auto"/>
            </w:pPr>
            <w:r>
              <w:t>Tokenizer data used by the token chunker.</w:t>
            </w:r>
          </w:p>
        </w:tc>
      </w:tr>
      <w:tr>
        <w:trPr>
          <w:cantSplit/>
        </w:trPr>
        <w:tc>
          <w:tcPr>
            <w:tcW w:type="dxa" w:w="3750"/>
            <w:vAlign w:val="center"/>
            <w:tcMar>
              <w:top w:w="90" w:type="dxa"/>
              <w:start w:w="120" w:type="dxa"/>
              <w:bottom w:w="90" w:type="dxa"/>
              <w:end w:w="120" w:type="dxa"/>
            </w:tcMar>
          </w:tcPr>
          <w:p>
            <w:pPr>
              <w:spacing w:after="0" w:line="264" w:lineRule="auto"/>
            </w:pPr>
            <w:r>
              <w:t>Microsoft.Extensions.Hosting</w:t>
            </w:r>
          </w:p>
        </w:tc>
        <w:tc>
          <w:tcPr>
            <w:tcW w:type="dxa" w:w="2450"/>
            <w:vAlign w:val="center"/>
            <w:tcMar>
              <w:top w:w="90" w:type="dxa"/>
              <w:start w:w="120" w:type="dxa"/>
              <w:bottom w:w="90" w:type="dxa"/>
              <w:end w:w="120" w:type="dxa"/>
            </w:tcMar>
          </w:tcPr>
          <w:p>
            <w:pPr>
              <w:spacing w:after="0" w:line="264" w:lineRule="auto"/>
            </w:pPr>
            <w:r>
              <w:t>10.0.9</w:t>
            </w:r>
          </w:p>
        </w:tc>
        <w:tc>
          <w:tcPr>
            <w:tcW w:type="dxa" w:w="3160"/>
            <w:vAlign w:val="center"/>
            <w:tcMar>
              <w:top w:w="90" w:type="dxa"/>
              <w:start w:w="120" w:type="dxa"/>
              <w:bottom w:w="90" w:type="dxa"/>
              <w:end w:w="120" w:type="dxa"/>
            </w:tcMar>
          </w:tcPr>
          <w:p>
            <w:pPr>
              <w:spacing w:after="0" w:line="264" w:lineRule="auto"/>
            </w:pPr>
            <w:r>
              <w:t>Host, DI, application lifetime, and configuration composition.</w:t>
            </w:r>
          </w:p>
        </w:tc>
      </w:tr>
      <w:tr>
        <w:trPr>
          <w:cantSplit/>
        </w:trPr>
        <w:tc>
          <w:tcPr>
            <w:tcW w:type="dxa" w:w="3750"/>
            <w:vAlign w:val="center"/>
            <w:tcMar>
              <w:top w:w="90" w:type="dxa"/>
              <w:start w:w="120" w:type="dxa"/>
              <w:bottom w:w="90" w:type="dxa"/>
              <w:end w:w="120" w:type="dxa"/>
            </w:tcMar>
          </w:tcPr>
          <w:p>
            <w:pPr>
              <w:spacing w:after="0" w:line="264" w:lineRule="auto"/>
            </w:pPr>
            <w:r>
              <w:t>Microsoft.Extensions.Logging.Console</w:t>
            </w:r>
          </w:p>
        </w:tc>
        <w:tc>
          <w:tcPr>
            <w:tcW w:type="dxa" w:w="2450"/>
            <w:vAlign w:val="center"/>
            <w:tcMar>
              <w:top w:w="90" w:type="dxa"/>
              <w:start w:w="120" w:type="dxa"/>
              <w:bottom w:w="90" w:type="dxa"/>
              <w:end w:w="120" w:type="dxa"/>
            </w:tcMar>
          </w:tcPr>
          <w:p>
            <w:pPr>
              <w:spacing w:after="0" w:line="264" w:lineRule="auto"/>
            </w:pPr>
            <w:r>
              <w:t>10.0.9</w:t>
            </w:r>
          </w:p>
        </w:tc>
        <w:tc>
          <w:tcPr>
            <w:tcW w:type="dxa" w:w="3160"/>
            <w:vAlign w:val="center"/>
            <w:tcMar>
              <w:top w:w="90" w:type="dxa"/>
              <w:start w:w="120" w:type="dxa"/>
              <w:bottom w:w="90" w:type="dxa"/>
              <w:end w:w="120" w:type="dxa"/>
            </w:tcMar>
          </w:tcPr>
          <w:p>
            <w:pPr>
              <w:spacing w:after="0" w:line="264" w:lineRule="auto"/>
            </w:pPr>
            <w:r>
              <w:t>Structured console logging.</w:t>
            </w:r>
          </w:p>
        </w:tc>
      </w:tr>
      <w:tr>
        <w:trPr>
          <w:cantSplit/>
        </w:trPr>
        <w:tc>
          <w:tcPr>
            <w:tcW w:type="dxa" w:w="3750"/>
            <w:vAlign w:val="center"/>
            <w:tcMar>
              <w:top w:w="90" w:type="dxa"/>
              <w:start w:w="120" w:type="dxa"/>
              <w:bottom w:w="90" w:type="dxa"/>
              <w:end w:w="120" w:type="dxa"/>
            </w:tcMar>
          </w:tcPr>
          <w:p>
            <w:pPr>
              <w:spacing w:after="0" w:line="264" w:lineRule="auto"/>
            </w:pPr>
            <w:r>
              <w:t>Microsoft.Bcl.Memory</w:t>
            </w:r>
          </w:p>
        </w:tc>
        <w:tc>
          <w:tcPr>
            <w:tcW w:type="dxa" w:w="2450"/>
            <w:vAlign w:val="center"/>
            <w:tcMar>
              <w:top w:w="90" w:type="dxa"/>
              <w:start w:w="120" w:type="dxa"/>
              <w:bottom w:w="90" w:type="dxa"/>
              <w:end w:w="120" w:type="dxa"/>
            </w:tcMar>
          </w:tcPr>
          <w:p>
            <w:pPr>
              <w:spacing w:after="0" w:line="264" w:lineRule="auto"/>
            </w:pPr>
            <w:r>
              <w:t>10.0.9</w:t>
            </w:r>
          </w:p>
        </w:tc>
        <w:tc>
          <w:tcPr>
            <w:tcW w:type="dxa" w:w="3160"/>
            <w:vAlign w:val="center"/>
            <w:tcMar>
              <w:top w:w="90" w:type="dxa"/>
              <w:start w:w="120" w:type="dxa"/>
              <w:bottom w:w="90" w:type="dxa"/>
              <w:end w:w="120" w:type="dxa"/>
            </w:tcMar>
          </w:tcPr>
          <w:p>
            <w:pPr>
              <w:spacing w:after="0" w:line="264" w:lineRule="auto"/>
            </w:pPr>
            <w:r>
              <w:t>Explicit patched transitive version to avoid a vulnerability warning.</w:t>
            </w:r>
          </w:p>
        </w:tc>
      </w:tr>
    </w:tbl>
    <w:p>
      <w:pPr>
        <w:spacing w:after="20"/>
      </w:pPr>
    </w:p>
    <w:p>
      <w:pPr>
        <w:pStyle w:val="FileReference"/>
      </w:pPr>
      <w:r>
        <w:rPr>
          <w:b/>
        </w:rPr>
        <w:t xml:space="preserve">Package references: </w:t>
      </w:r>
      <w:hyperlink r:id="rId11">
        <w:r>
          <w:rPr>
            <w:color w:val="1F4D78"/>
            <w:u w:val="single"/>
          </w:rPr>
          <w:t>C:\Users\crist\source\repos\MS-ProcessYourData\ProcessDataAI\ProcessDataAI.csproj</w:t>
        </w:r>
      </w:hyperlink>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FF4CE"/>
          </w:tcPr>
          <w:p>
            <w:pPr>
              <w:pStyle w:val="CalloutText"/>
            </w:pPr>
            <w:r>
              <w:rPr>
                <w:b/>
                <w:color w:val="0B2545"/>
              </w:rPr>
              <w:t xml:space="preserve">Preview packages  </w:t>
            </w:r>
            <w:r>
              <w:t>Microsoft.Extensions.DataIngestion and the in-memory connector are preview dependencies. A production implementation should pin versions, test upgrades deliberately, and expect API changes.</w:t>
            </w:r>
          </w:p>
        </w:tc>
      </w:tr>
    </w:tbl>
    <w:p>
      <w:pPr>
        <w:spacing w:after="20"/>
      </w:pPr>
    </w:p>
    <w:p>
      <w:pPr>
        <w:pStyle w:val="Heading1"/>
      </w:pPr>
      <w:r>
        <w:t>6. Startup and dependency injection</w:t>
      </w:r>
    </w:p>
    <w:p>
      <w:r>
        <w:t>Program.cs owns composition. It loads .env before building the host, adds the values as an in-memory configuration source, configures single-line timestamped logging, registers validated options and singleton services, starts the host, ingests Data/, and then chooses one-shot or interactive search.</w:t>
      </w:r>
    </w:p>
    <w:p>
      <w:pPr>
        <w:spacing w:before="80" w:after="60"/>
      </w:pPr>
      <w:r>
        <w:rPr>
          <w:b/>
          <w:color w:val="1F4D78"/>
          <w:sz w:val="19"/>
        </w:rPr>
        <w:t>Core DI registration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HostApplicationBuilder builder = Host.CreateApplicationBuilder(args);</w:t>
            </w:r>
          </w:p>
          <w:p>
            <w:pPr>
              <w:pStyle w:val="CodeBlock"/>
            </w:pPr>
            <w:r>
              <w:t>builder.Configuration.AddInMemoryCollection(envValues);</w:t>
            </w:r>
          </w:p>
          <w:p>
            <w:pPr>
              <w:pStyle w:val="CodeBlock"/>
            </w:pPr>
            <w:r>
              <w:t xml:space="preserve"> </w:t>
            </w:r>
          </w:p>
          <w:p>
            <w:pPr>
              <w:pStyle w:val="CodeBlock"/>
            </w:pPr>
            <w:r>
              <w:t>builder.Services.AddSingleton&lt;PdfPigDocumentReader&gt;();</w:t>
            </w:r>
          </w:p>
          <w:p>
            <w:pPr>
              <w:pStyle w:val="CodeBlock"/>
            </w:pPr>
            <w:r>
              <w:t>builder.Services.AddSingleton&lt;EmbeddingGeneratorFactory&gt;();</w:t>
            </w:r>
          </w:p>
          <w:p>
            <w:pPr>
              <w:pStyle w:val="CodeBlock"/>
            </w:pPr>
            <w:r>
              <w:t>builder.Services.AddSingleton&lt;IEmbeddingGenerator&lt;string, Embedding&lt;float&gt;&gt;&gt;(</w:t>
            </w:r>
          </w:p>
          <w:p>
            <w:pPr>
              <w:pStyle w:val="CodeBlock"/>
            </w:pPr>
            <w:r>
              <w:t xml:space="preserve">    services =&gt; services.GetRequiredService&lt;EmbeddingGeneratorFactory&gt;().Create());</w:t>
            </w:r>
          </w:p>
          <w:p>
            <w:pPr>
              <w:pStyle w:val="CodeBlock"/>
            </w:pPr>
            <w:r>
              <w:t>builder.Services.AddSingleton&lt;DocumentSearchService&gt;();</w:t>
            </w:r>
          </w:p>
        </w:tc>
      </w:tr>
    </w:tbl>
    <w:p>
      <w:pPr>
        <w:spacing w:after="20"/>
      </w:pPr>
    </w:p>
    <w:p>
      <w:r>
        <w:t>Singleton lifetime is appropriate for this POC because one process owns one provider client, one in-memory store, and one ingestion/search session. The host disposes registered disposable services during shutdown.</w:t>
      </w:r>
    </w:p>
    <w:p>
      <w:pPr>
        <w:pStyle w:val="FileReference"/>
      </w:pPr>
      <w:r>
        <w:rPr>
          <w:b/>
        </w:rPr>
        <w:t xml:space="preserve">Startup implementation: </w:t>
      </w:r>
      <w:hyperlink r:id="rId12">
        <w:r>
          <w:rPr>
            <w:color w:val="1F4D78"/>
            <w:u w:val="single"/>
          </w:rPr>
          <w:t>C:\Users\crist\source\repos\MS-ProcessYourData\ProcessDataAI\Program.cs</w:t>
        </w:r>
      </w:hyperlink>
    </w:p>
    <w:p>
      <w:r>
        <w:br w:type="page"/>
      </w:r>
    </w:p>
    <w:p>
      <w:pPr>
        <w:pStyle w:val="Heading1"/>
      </w:pPr>
      <w:r>
        <w:t>7. Environment configuration and validation</w:t>
      </w:r>
    </w:p>
    <w:p>
      <w:r>
        <w:t>Provider selection is data-driven. Switching between Azure and Ollama requires only an .env change; the downstream pipeline always receives the same IEmbeddingGenerator abstraction.</w:t>
      </w:r>
    </w:p>
    <w:p>
      <w:pPr>
        <w:spacing w:before="80" w:after="60"/>
      </w:pPr>
      <w:r>
        <w:rPr>
          <w:b/>
          <w:color w:val="1F4D78"/>
          <w:sz w:val="19"/>
        </w:rPr>
        <w:t>.env.example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AI_PROVIDER=Azure</w:t>
            </w:r>
          </w:p>
          <w:p>
            <w:pPr>
              <w:pStyle w:val="CodeBlock"/>
            </w:pPr>
            <w:r>
              <w:t xml:space="preserve"> </w:t>
            </w:r>
          </w:p>
          <w:p>
            <w:pPr>
              <w:pStyle w:val="CodeBlock"/>
            </w:pPr>
            <w:r>
              <w:t>AZURE_OPENAI_ENDPOINT=</w:t>
            </w:r>
          </w:p>
          <w:p>
            <w:pPr>
              <w:pStyle w:val="CodeBlock"/>
            </w:pPr>
            <w:r>
              <w:t>AZURE_OPENAI_API_KEY=</w:t>
            </w:r>
          </w:p>
          <w:p>
            <w:pPr>
              <w:pStyle w:val="CodeBlock"/>
            </w:pPr>
            <w:r>
              <w:t>AZURE_OPENAI_EMBEDDING_MODEL=</w:t>
            </w:r>
          </w:p>
          <w:p>
            <w:pPr>
              <w:pStyle w:val="CodeBlock"/>
            </w:pPr>
            <w:r>
              <w:t xml:space="preserve"> </w:t>
            </w:r>
          </w:p>
          <w:p>
            <w:pPr>
              <w:pStyle w:val="CodeBlock"/>
            </w:pPr>
            <w:r>
              <w:t>OLLAMA_ENDPOINT=http://192.168.178.22:11434/v1</w:t>
            </w:r>
          </w:p>
          <w:p>
            <w:pPr>
              <w:pStyle w:val="CodeBlock"/>
            </w:pPr>
            <w:r>
              <w:t>OLLAMA_EMBEDDING_MODEL=nomic-embed-text</w:t>
            </w:r>
          </w:p>
        </w:tc>
      </w:tr>
    </w:tbl>
    <w:p>
      <w:pPr>
        <w:spacing w:after="20"/>
      </w:pPr>
    </w:p>
    <w:p>
      <w:pPr>
        <w:pStyle w:val="Heading2"/>
      </w:pPr>
      <w:r>
        <w:t>Configuration lifecycle</w:t>
      </w:r>
    </w:p>
    <w:p>
      <w:pPr>
        <w:pStyle w:val="ListNumber"/>
      </w:pPr>
      <w:r>
        <w:t>EnvFile.Load checks that .env exists and parses non-empty, non-comment KEY=VALUE lines.</w:t>
      </w:r>
    </w:p>
    <w:p>
      <w:pPr>
        <w:pStyle w:val="ListNumber"/>
      </w:pPr>
      <w:r>
        <w:t>Program.cs maps configuration keys into AiOptions and nested Azure/Ollama option objects.</w:t>
      </w:r>
    </w:p>
    <w:p>
      <w:pPr>
        <w:pStyle w:val="ListNumber"/>
      </w:pPr>
      <w:r>
        <w:t>AiOptionsValidator checks AI_PROVIDER and validates only the selected provider's required fields.</w:t>
      </w:r>
    </w:p>
    <w:p>
      <w:pPr>
        <w:pStyle w:val="ListNumber"/>
      </w:pPr>
      <w:r>
        <w:t>ValidateOnStart causes invalid configuration to fail before ingestion begins.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FF4CE"/>
          </w:tcPr>
          <w:p>
            <w:pPr>
              <w:pStyle w:val="CalloutText"/>
            </w:pPr>
            <w:r>
              <w:rPr>
                <w:b/>
                <w:color w:val="0B2545"/>
              </w:rPr>
              <w:t xml:space="preserve">Secret handling  </w:t>
            </w:r>
            <w:r>
              <w:t>The real .env is ignored by Git. .env.example documents keys but must not contain credentials. For a deployed service, prefer a managed secret store or environment injection rather than a local file.</w:t>
            </w:r>
          </w:p>
        </w:tc>
      </w:tr>
    </w:tbl>
    <w:p>
      <w:pPr>
        <w:spacing w:after="20"/>
      </w:pPr>
    </w:p>
    <w:p>
      <w:pPr>
        <w:pStyle w:val="FileReference"/>
      </w:pPr>
      <w:r>
        <w:rPr>
          <w:b/>
        </w:rPr>
        <w:t xml:space="preserve">Example configuration: </w:t>
      </w:r>
      <w:hyperlink r:id="rId13">
        <w:r>
          <w:rPr>
            <w:color w:val="1F4D78"/>
            <w:u w:val="single"/>
          </w:rPr>
          <w:t>C:\Users\crist\source\repos\MS-ProcessYourData\ProcessDataAI\.env.example</w:t>
        </w:r>
      </w:hyperlink>
    </w:p>
    <w:p>
      <w:pPr>
        <w:pStyle w:val="FileReference"/>
      </w:pPr>
      <w:r>
        <w:rPr>
          <w:b/>
        </w:rPr>
        <w:t xml:space="preserve">Parser: </w:t>
      </w:r>
      <w:hyperlink r:id="rId14">
        <w:r>
          <w:rPr>
            <w:color w:val="1F4D78"/>
            <w:u w:val="single"/>
          </w:rPr>
          <w:t>C:\Users\crist\source\repos\MS-ProcessYourData\ProcessDataAI\Configuration\EnvFile.cs</w:t>
        </w:r>
      </w:hyperlink>
    </w:p>
    <w:p>
      <w:pPr>
        <w:pStyle w:val="FileReference"/>
      </w:pPr>
      <w:r>
        <w:rPr>
          <w:b/>
        </w:rPr>
        <w:t xml:space="preserve">Typed settings: </w:t>
      </w:r>
      <w:hyperlink r:id="rId15">
        <w:r>
          <w:rPr>
            <w:color w:val="1F4D78"/>
            <w:u w:val="single"/>
          </w:rPr>
          <w:t>C:\Users\crist\source\repos\MS-ProcessYourData\ProcessDataAI\Configuration\AiOptions.cs</w:t>
        </w:r>
      </w:hyperlink>
    </w:p>
    <w:p>
      <w:pPr>
        <w:pStyle w:val="FileReference"/>
      </w:pPr>
      <w:r>
        <w:rPr>
          <w:b/>
        </w:rPr>
        <w:t xml:space="preserve">Validation: </w:t>
      </w:r>
      <w:hyperlink r:id="rId16">
        <w:r>
          <w:rPr>
            <w:color w:val="1F4D78"/>
            <w:u w:val="single"/>
          </w:rPr>
          <w:t>C:\Users\crist\source\repos\MS-ProcessYourData\ProcessDataAI\Configuration\AiOptionsValidator.cs</w:t>
        </w:r>
      </w:hyperlink>
    </w:p>
    <w:p>
      <w:pPr>
        <w:pStyle w:val="Heading1"/>
      </w:pPr>
      <w:r>
        <w:t>8. Embedding provider abstraction</w:t>
      </w:r>
    </w:p>
    <w:p>
      <w:r>
        <w:t>EmbeddingGeneratorFactory is the only class that knows how to create provider-specific clients. Both branches return IEmbeddingGenerator&lt;string, Embedding&lt;float&gt;&gt;, which is the Microsoft.Extensions.AI contract consumed everywhere else.</w:t>
      </w:r>
    </w:p>
    <w:p>
      <w:pPr>
        <w:spacing w:before="80" w:after="60"/>
      </w:pPr>
      <w:r>
        <w:rPr>
          <w:b/>
          <w:color w:val="1F4D78"/>
          <w:sz w:val="19"/>
        </w:rPr>
        <w:t>Provider selection, shortened</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if (settings.Provider.Equals(AiOptions.AzureProvider,</w:t>
            </w:r>
          </w:p>
          <w:p>
            <w:pPr>
              <w:pStyle w:val="CodeBlock"/>
            </w:pPr>
            <w:r>
              <w:t xml:space="preserve">    StringComparison.OrdinalIgnoreCase))</w:t>
            </w:r>
          </w:p>
          <w:p>
            <w:pPr>
              <w:pStyle w:val="CodeBlock"/>
            </w:pPr>
            <w:r>
              <w:t>{</w:t>
            </w:r>
          </w:p>
          <w:p>
            <w:pPr>
              <w:pStyle w:val="CodeBlock"/>
            </w:pPr>
            <w:r>
              <w:t xml:space="preserve">    var client = new AzureOpenAIClient(</w:t>
            </w:r>
          </w:p>
          <w:p>
            <w:pPr>
              <w:pStyle w:val="CodeBlock"/>
            </w:pPr>
            <w:r>
              <w:t xml:space="preserve">        new Uri(azure.Endpoint),</w:t>
            </w:r>
          </w:p>
          <w:p>
            <w:pPr>
              <w:pStyle w:val="CodeBlock"/>
            </w:pPr>
            <w:r>
              <w:t xml:space="preserve">        new AzureKeyCredential(azure.ApiKey));</w:t>
            </w:r>
          </w:p>
          <w:p>
            <w:pPr>
              <w:pStyle w:val="CodeBlock"/>
            </w:pPr>
            <w:r>
              <w:t xml:space="preserve">    return client.GetEmbeddingClient(azure.EmbeddingModel)</w:t>
            </w:r>
          </w:p>
          <w:p>
            <w:pPr>
              <w:pStyle w:val="CodeBlock"/>
            </w:pPr>
            <w:r>
              <w:t xml:space="preserve">        .AsIEmbeddingGenerator();</w:t>
            </w:r>
          </w:p>
          <w:p>
            <w:pPr>
              <w:pStyle w:val="CodeBlock"/>
            </w:pPr>
            <w:r>
              <w:t>}</w:t>
            </w:r>
          </w:p>
          <w:p>
            <w:pPr>
              <w:pStyle w:val="CodeBlock"/>
            </w:pPr>
            <w:r>
              <w:t xml:space="preserve"> </w:t>
            </w:r>
          </w:p>
          <w:p>
            <w:pPr>
              <w:pStyle w:val="CodeBlock"/>
            </w:pPr>
            <w:r>
              <w:t>var options = new OpenAIClientOptions { Endpoint = new Uri(ollama.Endpoint) };</w:t>
            </w:r>
          </w:p>
          <w:p>
            <w:pPr>
              <w:pStyle w:val="CodeBlock"/>
            </w:pPr>
            <w:r>
              <w:t>var client = new OpenAIClient(new ApiKeyCredential("not-required"), options);</w:t>
            </w:r>
          </w:p>
          <w:p>
            <w:pPr>
              <w:pStyle w:val="CodeBlock"/>
            </w:pPr>
            <w:r>
              <w:t>return client.GetEmbeddingClient(ollama.EmbeddingModel)</w:t>
            </w:r>
          </w:p>
          <w:p>
            <w:pPr>
              <w:pStyle w:val="CodeBlock"/>
            </w:pPr>
            <w:r>
              <w:t xml:space="preserve">    .AsIEmbeddingGenerator();</w:t>
            </w:r>
          </w:p>
        </w:tc>
      </w:tr>
    </w:tbl>
    <w:p>
      <w:pPr>
        <w:spacing w:after="20"/>
      </w:pPr>
    </w:p>
    <w:p>
      <w:r>
        <w:t>Ollama exposes an OpenAI-compatible /v1 endpoint. The OpenAI SDK requires a credential object, so the factory supplies a placeholder string; Ollama ignores it. No real Ollama API key is read or required.</w:t>
      </w:r>
    </w:p>
    <w:p>
      <w:pPr>
        <w:pStyle w:val="FileReference"/>
      </w:pPr>
      <w:r>
        <w:rPr>
          <w:b/>
        </w:rPr>
        <w:t xml:space="preserve">Provider factory: </w:t>
      </w:r>
      <w:hyperlink r:id="rId17">
        <w:r>
          <w:rPr>
            <w:color w:val="1F4D78"/>
            <w:u w:val="single"/>
          </w:rPr>
          <w:t>C:\Users\crist\source\repos\MS-ProcessYourData\ProcessDataAI\Services\EmbeddingGeneratorFactory.cs</w:t>
        </w:r>
      </w:hyperlink>
    </w:p>
    <w:p>
      <w:r>
        <w:br w:type="page"/>
      </w:r>
    </w:p>
    <w:p>
      <w:pPr>
        <w:pStyle w:val="Heading1"/>
      </w:pPr>
      <w:r>
        <w:t>9. PDF extraction and document normalization</w:t>
      </w:r>
    </w:p>
    <w:p>
      <w:r>
        <w:t>Microsoft.Extensions.DataIngestion defines IngestionDocumentReader but does not parse these local PDFs by itself. PdfPigDocumentReader supplies the format-specific adapter. It opens the incoming stream, extracts each page in content order, and translates non-empty page text into Microsoft's neutral ingestion document model.</w:t>
      </w:r>
    </w:p>
    <w:p>
      <w:pPr>
        <w:spacing w:before="80" w:after="60"/>
      </w:pPr>
      <w:r>
        <w:rPr>
          <w:b/>
          <w:color w:val="1F4D78"/>
          <w:sz w:val="19"/>
        </w:rPr>
        <w:t>Core reader logic</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using PdfDocument pdf = PdfDocument.Open(source);</w:t>
            </w:r>
          </w:p>
          <w:p>
            <w:pPr>
              <w:pStyle w:val="CodeBlock"/>
            </w:pPr>
            <w:r>
              <w:t>var document = new IngestionDocument(identifier);</w:t>
            </w:r>
          </w:p>
          <w:p>
            <w:pPr>
              <w:pStyle w:val="CodeBlock"/>
            </w:pPr>
            <w:r>
              <w:t xml:space="preserve"> </w:t>
            </w:r>
          </w:p>
          <w:p>
            <w:pPr>
              <w:pStyle w:val="CodeBlock"/>
            </w:pPr>
            <w:r>
              <w:t>foreach (var page in pdf.GetPages())</w:t>
            </w:r>
          </w:p>
          <w:p>
            <w:pPr>
              <w:pStyle w:val="CodeBlock"/>
            </w:pPr>
            <w:r>
              <w:t>{</w:t>
            </w:r>
          </w:p>
          <w:p>
            <w:pPr>
              <w:pStyle w:val="CodeBlock"/>
            </w:pPr>
            <w:r>
              <w:t xml:space="preserve">    string text = ContentOrderTextExtractor.GetText(page).Trim();</w:t>
            </w:r>
          </w:p>
          <w:p>
            <w:pPr>
              <w:pStyle w:val="CodeBlock"/>
            </w:pPr>
            <w:r>
              <w:t xml:space="preserve">    if (string.IsNullOrWhiteSpace(text)) continue;</w:t>
            </w:r>
          </w:p>
          <w:p>
            <w:pPr>
              <w:pStyle w:val="CodeBlock"/>
            </w:pPr>
            <w:r>
              <w:t xml:space="preserve"> </w:t>
            </w:r>
          </w:p>
          <w:p>
            <w:pPr>
              <w:pStyle w:val="CodeBlock"/>
            </w:pPr>
            <w:r>
              <w:t xml:space="preserve">    var section = new IngestionDocumentSection();</w:t>
            </w:r>
          </w:p>
          <w:p>
            <w:pPr>
              <w:pStyle w:val="CodeBlock"/>
            </w:pPr>
            <w:r>
              <w:t xml:space="preserve">    section.Elements.Add(</w:t>
            </w:r>
          </w:p>
          <w:p>
            <w:pPr>
              <w:pStyle w:val="CodeBlock"/>
            </w:pPr>
            <w:r>
              <w:t xml:space="preserve">        new IngestionDocumentParagraph(text) { PageNumber = page.Number });</w:t>
            </w:r>
          </w:p>
          <w:p>
            <w:pPr>
              <w:pStyle w:val="CodeBlock"/>
            </w:pPr>
            <w:r>
              <w:t xml:space="preserve">    document.Sections.Add(section);</w:t>
            </w:r>
          </w:p>
          <w:p>
            <w:pPr>
              <w:pStyle w:val="CodeBlock"/>
            </w:pPr>
            <w:r>
              <w:t>}</w:t>
            </w:r>
          </w:p>
        </w:tc>
      </w:tr>
    </w:tbl>
    <w:p>
      <w:pPr>
        <w:spacing w:after="20"/>
      </w:pPr>
    </w:p>
    <w:p>
      <w:pPr>
        <w:pStyle w:val="Heading2"/>
      </w:pPr>
      <w:r>
        <w:t>Why ContentOrderTextExtractor is used</w:t>
      </w:r>
    </w:p>
    <w:p>
      <w:r>
        <w:t>PDFs store drawing instructions, not necessarily reading-order paragraphs. PdfPig's content-order extractor is a better default than directly reading page.Text because it attempts to reconstruct human reading order.</w:t>
      </w:r>
    </w:p>
    <w:p>
      <w:pPr>
        <w:pStyle w:val="Heading2"/>
      </w:pPr>
      <w:r>
        <w:t>Image-only PDFs</w:t>
      </w:r>
    </w:p>
    <w:p>
      <w:r>
        <w:t>If every page produces empty text, the reader throws InvalidDataException. The pipeline captures that failure as an IngestionResult, logs it, skips the document, and continues with other PDFs. This is why the two Jam-export PDFs produce error logs but do not stop a successful EmployeeHandbook search.</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FF4CE"/>
          </w:tcPr>
          <w:p>
            <w:pPr>
              <w:pStyle w:val="CalloutText"/>
            </w:pPr>
            <w:r>
              <w:rPr>
                <w:b/>
                <w:color w:val="0B2545"/>
              </w:rPr>
              <w:t xml:space="preserve">No OCR by design  </w:t>
            </w:r>
            <w:r>
              <w:t>A PDF can display words while containing only an image. Such a document has no selectable text for PdfPig to extract. OCR is a separate capability and is intentionally outside this POC.</w:t>
            </w:r>
          </w:p>
        </w:tc>
      </w:tr>
    </w:tbl>
    <w:p>
      <w:pPr>
        <w:spacing w:after="20"/>
      </w:pPr>
    </w:p>
    <w:p>
      <w:pPr>
        <w:pStyle w:val="FileReference"/>
      </w:pPr>
      <w:r>
        <w:rPr>
          <w:b/>
        </w:rPr>
        <w:t xml:space="preserve">PDF reader: </w:t>
      </w:r>
      <w:hyperlink r:id="rId18">
        <w:r>
          <w:rPr>
            <w:color w:val="1F4D78"/>
            <w:u w:val="single"/>
          </w:rPr>
          <w:t>C:\Users\crist\source\repos\MS-ProcessYourData\ProcessDataAI\Ingestion\PdfPigDocumentReader.cs</w:t>
        </w:r>
      </w:hyperlink>
    </w:p>
    <w:p>
      <w:pPr>
        <w:pStyle w:val="Heading1"/>
      </w:pPr>
      <w:r>
        <w:t>10. Chunking strategy</w:t>
      </w:r>
    </w:p>
    <w:p>
      <w:r>
        <w:t>The POC uses DocumentTokenChunker with the o200k tokenizer. HeaderChunker was not selected because raw PDF extraction does not reliably identify semantic heading levels. Inventing headings from layout would add fragile heuristics to a minimal sample.</w:t>
      </w:r>
    </w:p>
    <w:p>
      <w:pPr>
        <w:spacing w:before="80" w:after="60"/>
      </w:pPr>
      <w:r>
        <w:rPr>
          <w:b/>
          <w:color w:val="1F4D78"/>
          <w:sz w:val="19"/>
        </w:rPr>
        <w:t>Chunker configuration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var chunkerOptions = new IngestionChunkerOptions(</w:t>
            </w:r>
          </w:p>
          <w:p>
            <w:pPr>
              <w:pStyle w:val="CodeBlock"/>
            </w:pPr>
            <w:r>
              <w:t xml:space="preserve">    TiktokenTokenizer.CreateForModel("gpt-4o"))</w:t>
            </w:r>
          </w:p>
          <w:p>
            <w:pPr>
              <w:pStyle w:val="CodeBlock"/>
            </w:pPr>
            <w:r>
              <w:t>{</w:t>
            </w:r>
          </w:p>
          <w:p>
            <w:pPr>
              <w:pStyle w:val="CodeBlock"/>
            </w:pPr>
            <w:r>
              <w:t xml:space="preserve">    MaxTokensPerChunk = 500,</w:t>
            </w:r>
          </w:p>
          <w:p>
            <w:pPr>
              <w:pStyle w:val="CodeBlock"/>
            </w:pPr>
            <w:r>
              <w:t xml:space="preserve">    OverlapTokens = 75</w:t>
            </w:r>
          </w:p>
          <w:p>
            <w:pPr>
              <w:pStyle w:val="CodeBlock"/>
            </w:pPr>
            <w:r>
              <w:t>};</w:t>
            </w:r>
          </w:p>
          <w:p>
            <w:pPr>
              <w:pStyle w:val="CodeBlock"/>
            </w:pPr>
            <w:r>
              <w:t xml:space="preserve"> </w:t>
            </w:r>
          </w:p>
          <w:p>
            <w:pPr>
              <w:pStyle w:val="CodeBlock"/>
            </w:pPr>
            <w:r>
              <w:t>IngestionChunker&lt;string&gt; chunker =</w:t>
            </w:r>
          </w:p>
          <w:p>
            <w:pPr>
              <w:pStyle w:val="CodeBlock"/>
            </w:pPr>
            <w:r>
              <w:t xml:space="preserve">    new DocumentTokenChunker(chunkerOptions);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00"/>
        <w:gridCol w:w="1700"/>
        <w:gridCol w:w="5560"/>
      </w:tblGrid>
      <w:tr>
        <w:trPr>
          <w:tblHeader w:val="true"/>
          <w:cantSplit/>
        </w:trPr>
        <w:tc>
          <w:tcPr>
            <w:tcW w:type="dxa" w:w="2100"/>
            <w:shd w:fill="E8EEF5"/>
            <w:vAlign w:val="center"/>
            <w:tcMar>
              <w:top w:w="90" w:type="dxa"/>
              <w:start w:w="120" w:type="dxa"/>
              <w:bottom w:w="90" w:type="dxa"/>
              <w:end w:w="120" w:type="dxa"/>
            </w:tcMar>
          </w:tcPr>
          <w:p>
            <w:pPr>
              <w:spacing w:after="0"/>
            </w:pPr>
            <w:r>
              <w:rPr>
                <w:b/>
                <w:color w:val="0B2545"/>
              </w:rPr>
              <w:t>Setting</w:t>
            </w:r>
          </w:p>
        </w:tc>
        <w:tc>
          <w:tcPr>
            <w:tcW w:type="dxa" w:w="1700"/>
            <w:shd w:fill="E8EEF5"/>
            <w:vAlign w:val="center"/>
            <w:tcMar>
              <w:top w:w="90" w:type="dxa"/>
              <w:start w:w="120" w:type="dxa"/>
              <w:bottom w:w="90" w:type="dxa"/>
              <w:end w:w="120" w:type="dxa"/>
            </w:tcMar>
          </w:tcPr>
          <w:p>
            <w:pPr>
              <w:spacing w:after="0"/>
            </w:pPr>
            <w:r>
              <w:rPr>
                <w:b/>
                <w:color w:val="0B2545"/>
              </w:rPr>
              <w:t>Value</w:t>
            </w:r>
          </w:p>
        </w:tc>
        <w:tc>
          <w:tcPr>
            <w:tcW w:type="dxa" w:w="5560"/>
            <w:shd w:fill="E8EEF5"/>
            <w:vAlign w:val="center"/>
            <w:tcMar>
              <w:top w:w="90" w:type="dxa"/>
              <w:start w:w="120" w:type="dxa"/>
              <w:bottom w:w="90" w:type="dxa"/>
              <w:end w:w="120" w:type="dxa"/>
            </w:tcMar>
          </w:tcPr>
          <w:p>
            <w:pPr>
              <w:spacing w:after="0"/>
            </w:pPr>
            <w:r>
              <w:rPr>
                <w:b/>
                <w:color w:val="0B2545"/>
              </w:rPr>
              <w:t>Reason</w:t>
            </w:r>
          </w:p>
        </w:tc>
      </w:tr>
      <w:tr>
        <w:trPr>
          <w:cantSplit/>
        </w:trPr>
        <w:tc>
          <w:tcPr>
            <w:tcW w:type="dxa" w:w="2100"/>
            <w:vAlign w:val="center"/>
            <w:tcMar>
              <w:top w:w="90" w:type="dxa"/>
              <w:start w:w="120" w:type="dxa"/>
              <w:bottom w:w="90" w:type="dxa"/>
              <w:end w:w="120" w:type="dxa"/>
            </w:tcMar>
          </w:tcPr>
          <w:p>
            <w:pPr>
              <w:spacing w:after="0" w:line="264" w:lineRule="auto"/>
            </w:pPr>
            <w:r>
              <w:t>Maximum</w:t>
            </w:r>
          </w:p>
        </w:tc>
        <w:tc>
          <w:tcPr>
            <w:tcW w:type="dxa" w:w="1700"/>
            <w:vAlign w:val="center"/>
            <w:tcMar>
              <w:top w:w="90" w:type="dxa"/>
              <w:start w:w="120" w:type="dxa"/>
              <w:bottom w:w="90" w:type="dxa"/>
              <w:end w:w="120" w:type="dxa"/>
            </w:tcMar>
          </w:tcPr>
          <w:p>
            <w:pPr>
              <w:spacing w:after="0" w:line="264" w:lineRule="auto"/>
            </w:pPr>
            <w:r>
              <w:t>500 tokens</w:t>
            </w:r>
          </w:p>
        </w:tc>
        <w:tc>
          <w:tcPr>
            <w:tcW w:type="dxa" w:w="5560"/>
            <w:vAlign w:val="center"/>
            <w:tcMar>
              <w:top w:w="90" w:type="dxa"/>
              <w:start w:w="120" w:type="dxa"/>
              <w:bottom w:w="90" w:type="dxa"/>
              <w:end w:w="120" w:type="dxa"/>
            </w:tcMar>
          </w:tcPr>
          <w:p>
            <w:pPr>
              <w:spacing w:after="0" w:line="264" w:lineRule="auto"/>
            </w:pPr>
            <w:r>
              <w:t>Small enough for focused retrieval; large enough for useful paragraph context.</w:t>
            </w:r>
          </w:p>
        </w:tc>
      </w:tr>
      <w:tr>
        <w:trPr>
          <w:cantSplit/>
        </w:trPr>
        <w:tc>
          <w:tcPr>
            <w:tcW w:type="dxa" w:w="2100"/>
            <w:vAlign w:val="center"/>
            <w:tcMar>
              <w:top w:w="90" w:type="dxa"/>
              <w:start w:w="120" w:type="dxa"/>
              <w:bottom w:w="90" w:type="dxa"/>
              <w:end w:w="120" w:type="dxa"/>
            </w:tcMar>
          </w:tcPr>
          <w:p>
            <w:pPr>
              <w:spacing w:after="0" w:line="264" w:lineRule="auto"/>
            </w:pPr>
            <w:r>
              <w:t>Overlap</w:t>
            </w:r>
          </w:p>
        </w:tc>
        <w:tc>
          <w:tcPr>
            <w:tcW w:type="dxa" w:w="1700"/>
            <w:vAlign w:val="center"/>
            <w:tcMar>
              <w:top w:w="90" w:type="dxa"/>
              <w:start w:w="120" w:type="dxa"/>
              <w:bottom w:w="90" w:type="dxa"/>
              <w:end w:w="120" w:type="dxa"/>
            </w:tcMar>
          </w:tcPr>
          <w:p>
            <w:pPr>
              <w:spacing w:after="0" w:line="264" w:lineRule="auto"/>
            </w:pPr>
            <w:r>
              <w:t>75 tokens</w:t>
            </w:r>
          </w:p>
        </w:tc>
        <w:tc>
          <w:tcPr>
            <w:tcW w:type="dxa" w:w="5560"/>
            <w:vAlign w:val="center"/>
            <w:tcMar>
              <w:top w:w="90" w:type="dxa"/>
              <w:start w:w="120" w:type="dxa"/>
              <w:bottom w:w="90" w:type="dxa"/>
              <w:end w:w="120" w:type="dxa"/>
            </w:tcMar>
          </w:tcPr>
          <w:p>
            <w:pPr>
              <w:spacing w:after="0" w:line="264" w:lineRule="auto"/>
            </w:pPr>
            <w:r>
              <w:t>Repeats boundary context so an answer near a split is less likely to be lost.</w:t>
            </w:r>
          </w:p>
        </w:tc>
      </w:tr>
      <w:tr>
        <w:trPr>
          <w:cantSplit/>
        </w:trPr>
        <w:tc>
          <w:tcPr>
            <w:tcW w:type="dxa" w:w="2100"/>
            <w:vAlign w:val="center"/>
            <w:tcMar>
              <w:top w:w="90" w:type="dxa"/>
              <w:start w:w="120" w:type="dxa"/>
              <w:bottom w:w="90" w:type="dxa"/>
              <w:end w:w="120" w:type="dxa"/>
            </w:tcMar>
          </w:tcPr>
          <w:p>
            <w:pPr>
              <w:spacing w:after="0" w:line="264" w:lineRule="auto"/>
            </w:pPr>
            <w:r>
              <w:t>Tokenizer</w:t>
            </w:r>
          </w:p>
        </w:tc>
        <w:tc>
          <w:tcPr>
            <w:tcW w:type="dxa" w:w="1700"/>
            <w:vAlign w:val="center"/>
            <w:tcMar>
              <w:top w:w="90" w:type="dxa"/>
              <w:start w:w="120" w:type="dxa"/>
              <w:bottom w:w="90" w:type="dxa"/>
              <w:end w:w="120" w:type="dxa"/>
            </w:tcMar>
          </w:tcPr>
          <w:p>
            <w:pPr>
              <w:spacing w:after="0" w:line="264" w:lineRule="auto"/>
            </w:pPr>
            <w:r>
              <w:t>o200k / gpt-4o mapping</w:t>
            </w:r>
          </w:p>
        </w:tc>
        <w:tc>
          <w:tcPr>
            <w:tcW w:type="dxa" w:w="5560"/>
            <w:vAlign w:val="center"/>
            <w:tcMar>
              <w:top w:w="90" w:type="dxa"/>
              <w:start w:w="120" w:type="dxa"/>
              <w:bottom w:w="90" w:type="dxa"/>
              <w:end w:w="120" w:type="dxa"/>
            </w:tcMar>
          </w:tcPr>
          <w:p>
            <w:pPr>
              <w:spacing w:after="0" w:line="264" w:lineRule="auto"/>
            </w:pPr>
            <w:r>
              <w:t>Provides deterministic token counting independent of the embedding provider.</w:t>
            </w:r>
          </w:p>
        </w:tc>
      </w:tr>
    </w:tbl>
    <w:p>
      <w:pPr>
        <w:spacing w:after="20"/>
      </w:pPr>
    </w:p>
    <w:p>
      <w:r>
        <w:br w:type="page"/>
      </w:r>
    </w:p>
    <w:p>
      <w:pPr>
        <w:pStyle w:val="Heading1"/>
      </w:pPr>
      <w:r>
        <w:t>11. Vector storage and chunk writing</w:t>
      </w:r>
    </w:p>
    <w:p>
      <w:r>
        <w:t>The Microsoft VectorStoreWriter requires the embedding dimension when it creates its collection schema. Dimensions differ by model, so the service generates a small probe embedding and reads probe.Length rather than hardcoding a model-specific number.</w:t>
      </w:r>
    </w:p>
    <w:p>
      <w:pPr>
        <w:spacing w:before="80" w:after="60"/>
      </w:pPr>
      <w:r>
        <w:rPr>
          <w:b/>
          <w:color w:val="1F4D78"/>
          <w:sz w:val="19"/>
        </w:rPr>
        <w:t>Dimension probe and store initialization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ReadOnlyMemory&lt;float&gt; probe = await embeddingGenerator.GenerateVectorAsync(</w:t>
            </w:r>
          </w:p>
          <w:p>
            <w:pPr>
              <w:pStyle w:val="CodeBlock"/>
            </w:pPr>
            <w:r>
              <w:t xml:space="preserve">    "embedding dimension probe",</w:t>
            </w:r>
          </w:p>
          <w:p>
            <w:pPr>
              <w:pStyle w:val="CodeBlock"/>
            </w:pPr>
            <w:r>
              <w:t xml:space="preserve">    cancellationToken: cancellationToken);</w:t>
            </w:r>
          </w:p>
          <w:p>
            <w:pPr>
              <w:pStyle w:val="CodeBlock"/>
            </w:pPr>
            <w:r>
              <w:t xml:space="preserve"> </w:t>
            </w:r>
          </w:p>
          <w:p>
            <w:pPr>
              <w:pStyle w:val="CodeBlock"/>
            </w:pPr>
            <w:r>
              <w:t>_vectorStore = new InMemoryVectorStore(new()</w:t>
            </w:r>
          </w:p>
          <w:p>
            <w:pPr>
              <w:pStyle w:val="CodeBlock"/>
            </w:pPr>
            <w:r>
              <w:t>{</w:t>
            </w:r>
          </w:p>
          <w:p>
            <w:pPr>
              <w:pStyle w:val="CodeBlock"/>
            </w:pPr>
            <w:r>
              <w:t xml:space="preserve">    EmbeddingGenerator = embeddingGenerator</w:t>
            </w:r>
          </w:p>
          <w:p>
            <w:pPr>
              <w:pStyle w:val="CodeBlock"/>
            </w:pPr>
            <w:r>
              <w:t>});</w:t>
            </w:r>
          </w:p>
          <w:p>
            <w:pPr>
              <w:pStyle w:val="CodeBlock"/>
            </w:pPr>
            <w:r>
              <w:t xml:space="preserve"> </w:t>
            </w:r>
          </w:p>
          <w:p>
            <w:pPr>
              <w:pStyle w:val="CodeBlock"/>
            </w:pPr>
            <w:r>
              <w:t>_writer = new CountingVectorStoreWriter(</w:t>
            </w:r>
          </w:p>
          <w:p>
            <w:pPr>
              <w:pStyle w:val="CodeBlock"/>
            </w:pPr>
            <w:r>
              <w:t xml:space="preserve">    _vectorStore,</w:t>
            </w:r>
          </w:p>
          <w:p>
            <w:pPr>
              <w:pStyle w:val="CodeBlock"/>
            </w:pPr>
            <w:r>
              <w:t xml:space="preserve">    probe.Length,</w:t>
            </w:r>
          </w:p>
          <w:p>
            <w:pPr>
              <w:pStyle w:val="CodeBlock"/>
            </w:pPr>
            <w:r>
              <w:t xml:space="preserve">    new VectorStoreWriterOptions</w:t>
            </w:r>
          </w:p>
          <w:p>
            <w:pPr>
              <w:pStyle w:val="CodeBlock"/>
            </w:pPr>
            <w:r>
              <w:t xml:space="preserve">    {</w:t>
            </w:r>
          </w:p>
          <w:p>
            <w:pPr>
              <w:pStyle w:val="CodeBlock"/>
            </w:pPr>
            <w:r>
              <w:t xml:space="preserve">        CollectionName = "documents",</w:t>
            </w:r>
          </w:p>
          <w:p>
            <w:pPr>
              <w:pStyle w:val="CodeBlock"/>
            </w:pPr>
            <w:r>
              <w:t xml:space="preserve">        DistanceFunction = DistanceFunction.CosineSimilarity</w:t>
            </w:r>
          </w:p>
          <w:p>
            <w:pPr>
              <w:pStyle w:val="CodeBlock"/>
            </w:pPr>
            <w:r>
              <w:t xml:space="preserve">    });</w:t>
            </w:r>
          </w:p>
        </w:tc>
      </w:tr>
    </w:tbl>
    <w:p>
      <w:pPr>
        <w:spacing w:after="20"/>
      </w:pPr>
    </w:p>
    <w:p>
      <w:pPr>
        <w:pStyle w:val="Heading2"/>
      </w:pPr>
      <w:r>
        <w:t>Why the store receives the embedding generator</w:t>
      </w:r>
    </w:p>
    <w:p>
      <w:r>
        <w:t>The vector-data layer can automatically generate vectors from text when writing and when searching with a text query. That lets the application call SearchAsync(query, top: 3) instead of manually generating a query vector.</w:t>
      </w:r>
    </w:p>
    <w:p>
      <w:pPr>
        <w:pStyle w:val="Heading2"/>
      </w:pPr>
      <w:r>
        <w:t>CountingVectorStoreWriter</w:t>
      </w:r>
    </w:p>
    <w:p>
      <w:r>
        <w:t>VectorStoreWriter does not expose a simple total-chunk counter. The adapter derives from IngestionChunkWriter&lt;string&gt;, streams every chunk to the real writer, increments ChunkCount, and exposes the underlying collection for search. It does not buffer all chunks in memory before forwarding them.</w:t>
      </w:r>
    </w:p>
    <w:p>
      <w:pPr>
        <w:pStyle w:val="FileReference"/>
      </w:pPr>
      <w:r>
        <w:rPr>
          <w:b/>
        </w:rPr>
        <w:t xml:space="preserve">Counting adapter: </w:t>
      </w:r>
      <w:hyperlink r:id="rId19">
        <w:r>
          <w:rPr>
            <w:color w:val="1F4D78"/>
            <w:u w:val="single"/>
          </w:rPr>
          <w:t>C:\Users\crist\source\repos\MS-ProcessYourData\ProcessDataAI\Ingestion\CountingVectorStoreWriter.cs</w:t>
        </w:r>
      </w:hyperlink>
    </w:p>
    <w:p>
      <w:pPr>
        <w:pStyle w:val="Heading1"/>
      </w:pPr>
      <w:r>
        <w:t>12. Ingestion orchestration</w:t>
      </w:r>
    </w:p>
    <w:p>
      <w:r>
        <w:t>DocumentSearchService is the application service coordinating filesystem checks, provider verification, vector-store construction, chunker construction, pipeline execution, result handling, metrics, and lifecycle.</w:t>
      </w:r>
    </w:p>
    <w:p>
      <w:pPr>
        <w:spacing w:before="80" w:after="60"/>
      </w:pPr>
      <w:r>
        <w:rPr>
          <w:b/>
          <w:color w:val="1F4D78"/>
          <w:sz w:val="19"/>
        </w:rPr>
        <w:t>Pipeline composition and per-document handling</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_pipeline = new IngestionPipeline&lt;string&gt;(</w:t>
            </w:r>
          </w:p>
          <w:p>
            <w:pPr>
              <w:pStyle w:val="CodeBlock"/>
            </w:pPr>
            <w:r>
              <w:t xml:space="preserve">    reader,</w:t>
            </w:r>
          </w:p>
          <w:p>
            <w:pPr>
              <w:pStyle w:val="CodeBlock"/>
            </w:pPr>
            <w:r>
              <w:t xml:space="preserve">    chunker,</w:t>
            </w:r>
          </w:p>
          <w:p>
            <w:pPr>
              <w:pStyle w:val="CodeBlock"/>
            </w:pPr>
            <w:r>
              <w:t xml:space="preserve">    _writer,</w:t>
            </w:r>
          </w:p>
          <w:p>
            <w:pPr>
              <w:pStyle w:val="CodeBlock"/>
            </w:pPr>
            <w:r>
              <w:t xml:space="preserve">    loggerFactory: loggerFactory);</w:t>
            </w:r>
          </w:p>
          <w:p>
            <w:pPr>
              <w:pStyle w:val="CodeBlock"/>
            </w:pPr>
            <w:r>
              <w:t xml:space="preserve"> </w:t>
            </w:r>
          </w:p>
          <w:p>
            <w:pPr>
              <w:pStyle w:val="CodeBlock"/>
            </w:pPr>
            <w:r>
              <w:t>await foreach (IngestionResult result in</w:t>
            </w:r>
          </w:p>
          <w:p>
            <w:pPr>
              <w:pStyle w:val="CodeBlock"/>
            </w:pPr>
            <w:r>
              <w:t xml:space="preserve">    _pipeline.ProcessAsync(pdfs, cancellationToken))</w:t>
            </w:r>
          </w:p>
          <w:p>
            <w:pPr>
              <w:pStyle w:val="CodeBlock"/>
            </w:pPr>
            <w:r>
              <w:t>{</w:t>
            </w:r>
          </w:p>
          <w:p>
            <w:pPr>
              <w:pStyle w:val="CodeBlock"/>
            </w:pPr>
            <w:r>
              <w:t xml:space="preserve">    if (!result.Succeeded)</w:t>
            </w:r>
          </w:p>
          <w:p>
            <w:pPr>
              <w:pStyle w:val="CodeBlock"/>
            </w:pPr>
            <w:r>
              <w:t xml:space="preserve">    {</w:t>
            </w:r>
          </w:p>
          <w:p>
            <w:pPr>
              <w:pStyle w:val="CodeBlock"/>
            </w:pPr>
            <w:r>
              <w:t xml:space="preserve">        logger.LogError(result.Exception,</w:t>
            </w:r>
          </w:p>
          <w:p>
            <w:pPr>
              <w:pStyle w:val="CodeBlock"/>
            </w:pPr>
            <w:r>
              <w:t xml:space="preserve">            "Failed to ingest PDF {DocumentName}", result.DocumentId);</w:t>
            </w:r>
          </w:p>
          <w:p>
            <w:pPr>
              <w:pStyle w:val="CodeBlock"/>
            </w:pPr>
            <w:r>
              <w:t xml:space="preserve">        continue;</w:t>
            </w:r>
          </w:p>
          <w:p>
            <w:pPr>
              <w:pStyle w:val="CodeBlock"/>
            </w:pPr>
            <w:r>
              <w:t xml:space="preserve">    }</w:t>
            </w:r>
          </w:p>
          <w:p>
            <w:pPr>
              <w:pStyle w:val="CodeBlock"/>
            </w:pPr>
            <w:r>
              <w:t xml:space="preserve">    successfulDocuments++;</w:t>
            </w:r>
          </w:p>
          <w:p>
            <w:pPr>
              <w:pStyle w:val="CodeBlock"/>
            </w:pPr>
            <w:r>
              <w:t>}</w:t>
            </w:r>
          </w:p>
        </w:tc>
      </w:tr>
    </w:tbl>
    <w:p>
      <w:pPr>
        <w:spacing w:after="20"/>
      </w:pPr>
    </w:p>
    <w:p>
      <w:r>
        <w:t>A failed PDF does not abort the complete batch. The service only fails the application when zero PDFs were successfully ingested. This is a deliberate partial-success policy for a directory ingestion job.</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EAF4EA"/>
          </w:tcPr>
          <w:p>
            <w:pPr>
              <w:pStyle w:val="CalloutText"/>
            </w:pPr>
            <w:r>
              <w:rPr>
                <w:b/>
                <w:color w:val="0B2545"/>
              </w:rPr>
              <w:t xml:space="preserve">Pipeline lifetime  </w:t>
            </w:r>
            <w:r>
              <w:t>The pipeline is stored as a service field rather than a local using variable. Disposing it immediately after IngestAsync would dispose the writer before SearchAsync runs. DocumentSearchService disposes the pipeline and vector store at application shutdown.</w:t>
            </w:r>
          </w:p>
        </w:tc>
      </w:tr>
    </w:tbl>
    <w:p>
      <w:pPr>
        <w:spacing w:after="20"/>
      </w:pPr>
    </w:p>
    <w:p>
      <w:r>
        <w:br w:type="page"/>
      </w:r>
    </w:p>
    <w:p>
      <w:pPr>
        <w:pStyle w:val="Heading1"/>
      </w:pPr>
      <w:r>
        <w:t>13. Semantic search</w:t>
      </w:r>
    </w:p>
    <w:p>
      <w:r>
        <w:t>After at least one document succeeds, SearchAsync uses the writer's dynamic vector-store collection. The collection embeds the query, compares it with stored chunk embeddings using cosine similarity, and yields up to three VectorSearchResult records.</w:t>
      </w:r>
    </w:p>
    <w:p>
      <w:pPr>
        <w:spacing w:before="80" w:after="60"/>
      </w:pPr>
      <w:r>
        <w:rPr>
          <w:b/>
          <w:color w:val="1F4D78"/>
          <w:sz w:val="19"/>
        </w:rPr>
        <w:t>Top-three search and output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await foreach (var result in</w:t>
            </w:r>
          </w:p>
          <w:p>
            <w:pPr>
              <w:pStyle w:val="CodeBlock"/>
            </w:pPr>
            <w:r>
              <w:t xml:space="preserve">    _writer.VectorStoreCollection.SearchAsync(</w:t>
            </w:r>
          </w:p>
          <w:p>
            <w:pPr>
              <w:pStyle w:val="CodeBlock"/>
            </w:pPr>
            <w:r>
              <w:t xml:space="preserve">        query, top: 3, cancellationToken: cancellationToken))</w:t>
            </w:r>
          </w:p>
          <w:p>
            <w:pPr>
              <w:pStyle w:val="CodeBlock"/>
            </w:pPr>
            <w:r>
              <w:t>{</w:t>
            </w:r>
          </w:p>
          <w:p>
            <w:pPr>
              <w:pStyle w:val="CodeBlock"/>
            </w:pPr>
            <w:r>
              <w:t xml:space="preserve">    string documentId = GetString(result.Record,</w:t>
            </w:r>
          </w:p>
          <w:p>
            <w:pPr>
              <w:pStyle w:val="CodeBlock"/>
            </w:pPr>
            <w:r>
              <w:t xml:space="preserve">        "documentid", "document_id", "documentId", "DocumentId")</w:t>
            </w:r>
          </w:p>
          <w:p>
            <w:pPr>
              <w:pStyle w:val="CodeBlock"/>
            </w:pPr>
            <w:r>
              <w:t xml:space="preserve">        ?? "unknown";</w:t>
            </w:r>
          </w:p>
          <w:p>
            <w:pPr>
              <w:pStyle w:val="CodeBlock"/>
            </w:pPr>
            <w:r>
              <w:t xml:space="preserve">    string content = GetString(result.Record, "content", "Content")</w:t>
            </w:r>
          </w:p>
          <w:p>
            <w:pPr>
              <w:pStyle w:val="CodeBlock"/>
            </w:pPr>
            <w:r>
              <w:t xml:space="preserve">        ?? string.Empty;</w:t>
            </w:r>
          </w:p>
          <w:p>
            <w:pPr>
              <w:pStyle w:val="CodeBlock"/>
            </w:pPr>
            <w:r>
              <w:t xml:space="preserve"> </w:t>
            </w:r>
          </w:p>
          <w:p>
            <w:pPr>
              <w:pStyle w:val="CodeBlock"/>
            </w:pPr>
            <w:r>
              <w:t xml:space="preserve">    Console.WriteLine($"Score: {result.Score:F4}");</w:t>
            </w:r>
          </w:p>
          <w:p>
            <w:pPr>
              <w:pStyle w:val="CodeBlock"/>
            </w:pPr>
            <w:r>
              <w:t xml:space="preserve">    Console.WriteLine($"Document: {Path.GetFileName(documentId)}");</w:t>
            </w:r>
          </w:p>
          <w:p>
            <w:pPr>
              <w:pStyle w:val="CodeBlock"/>
            </w:pPr>
            <w:r>
              <w:t xml:space="preserve">    Console.WriteLine($"Content: {content}");</w:t>
            </w:r>
          </w:p>
          <w:p>
            <w:pPr>
              <w:pStyle w:val="CodeBlock"/>
            </w:pPr>
            <w:r>
              <w:t>}</w:t>
            </w:r>
          </w:p>
        </w:tc>
      </w:tr>
    </w:tbl>
    <w:p>
      <w:pPr>
        <w:spacing w:after="20"/>
      </w:pPr>
    </w:p>
    <w:p>
      <w:pPr>
        <w:pStyle w:val="Heading2"/>
      </w:pPr>
      <w:r>
        <w:t>Interpreting the score</w:t>
      </w:r>
    </w:p>
    <w:p>
      <w:r>
        <w:t>The score ranks results within the same search. It should not be treated as a universal correctness probability. Thresholds, if introduced later, should be calibrated on representative questions and documents.</w:t>
      </w:r>
    </w:p>
    <w:p>
      <w:pPr>
        <w:pStyle w:val="Heading2"/>
      </w:pPr>
      <w:r>
        <w:t>Why the dynamic record uses multiple key spellings</w:t>
      </w:r>
    </w:p>
    <w:p>
      <w:r>
        <w:t>VectorStoreWriter exposes a dynamic Dictionary&lt;string, object?&gt; schema. The current preview produces lower-case documentid and content keys. GetString accepts several variants to tolerate minor naming changes across preview versions.</w:t>
      </w:r>
    </w:p>
    <w:p>
      <w:pPr>
        <w:pStyle w:val="FileReference"/>
      </w:pPr>
      <w:r>
        <w:rPr>
          <w:b/>
        </w:rPr>
        <w:t xml:space="preserve">Ingestion and search service: </w:t>
      </w:r>
      <w:hyperlink r:id="rId20">
        <w:r>
          <w:rPr>
            <w:color w:val="1F4D78"/>
            <w:u w:val="single"/>
          </w:rPr>
          <w:t>C:\Users\crist\source\repos\MS-ProcessYourData\ProcessDataAI\Services\DocumentSearchService.cs</w:t>
        </w:r>
      </w:hyperlink>
    </w:p>
    <w:p>
      <w:pPr>
        <w:pStyle w:val="Heading1"/>
      </w:pPr>
      <w:r>
        <w:t>14. Running and validating the application</w:t>
      </w:r>
    </w:p>
    <w:p>
      <w:pPr>
        <w:pStyle w:val="Heading2"/>
      </w:pPr>
      <w:r>
        <w:t>Prerequisites</w:t>
      </w:r>
    </w:p>
    <w:p>
      <w:pPr>
        <w:pStyle w:val="ListBullet"/>
      </w:pPr>
      <w:r>
        <w:t>.NET 10 SDK.</w:t>
      </w:r>
    </w:p>
    <w:p>
      <w:pPr>
        <w:pStyle w:val="ListBullet"/>
      </w:pPr>
      <w:r>
        <w:t>At least one text-bearing PDF in Data/.</w:t>
      </w:r>
    </w:p>
    <w:p>
      <w:pPr>
        <w:pStyle w:val="ListBullet"/>
      </w:pPr>
      <w:r>
        <w:t>An Ollama embedding model available at the configured endpoint, or a deployed Azure OpenAI embedding model.</w:t>
      </w:r>
    </w:p>
    <w:p>
      <w:pPr>
        <w:pStyle w:val="ListBullet"/>
      </w:pPr>
      <w:r>
        <w:t>A .env file copied from .env.example and completed for the selected provider.</w:t>
      </w:r>
    </w:p>
    <w:p>
      <w:pPr>
        <w:spacing w:before="80" w:after="60"/>
      </w:pPr>
      <w:r>
        <w:rPr>
          <w:b/>
          <w:color w:val="1F4D78"/>
          <w:sz w:val="19"/>
        </w:rPr>
        <w:t>Build and run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dotnet restore</w:t>
            </w:r>
          </w:p>
          <w:p>
            <w:pPr>
              <w:pStyle w:val="CodeBlock"/>
            </w:pPr>
            <w:r>
              <w:t>dotnet build</w:t>
            </w:r>
          </w:p>
          <w:p>
            <w:pPr>
              <w:pStyle w:val="CodeBlock"/>
            </w:pPr>
            <w:r>
              <w:t>dotnet run</w:t>
            </w:r>
          </w:p>
          <w:p>
            <w:pPr>
              <w:pStyle w:val="CodeBlock"/>
            </w:pPr>
            <w:r>
              <w:t xml:space="preserve"> </w:t>
            </w:r>
          </w:p>
          <w:p>
            <w:pPr>
              <w:pStyle w:val="CodeBlock"/>
            </w:pPr>
            <w:r>
              <w:t># One-shot query</w:t>
            </w:r>
          </w:p>
          <w:p>
            <w:pPr>
              <w:pStyle w:val="CodeBlock"/>
            </w:pPr>
            <w:r>
              <w:t>dotnet run -- --query "How many vacation days per calendar year?</w:t>
            </w:r>
          </w:p>
        </w:tc>
      </w:tr>
    </w:tbl>
    <w:p>
      <w:pPr>
        <w:spacing w:after="20"/>
      </w:pPr>
    </w:p>
    <w:p>
      <w:pPr>
        <w:pStyle w:val="Heading2"/>
      </w:pPr>
      <w:r>
        <w:t>Expected one-shot output</w:t>
      </w:r>
    </w:p>
    <w:p>
      <w:pPr>
        <w:spacing w:before="80" w:after="60"/>
      </w:pPr>
      <w:r>
        <w:rPr>
          <w:b/>
          <w:color w:val="1F4D78"/>
          <w:sz w:val="19"/>
        </w:rPr>
        <w:t>Example result; score can vary by model</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F6F8FA"/>
          </w:tcPr>
          <w:p>
            <w:pPr>
              <w:pStyle w:val="CodeBlock"/>
            </w:pPr>
            <w:r/>
            <w:r>
              <w:t>Score: 0.7703</w:t>
            </w:r>
          </w:p>
          <w:p>
            <w:pPr>
              <w:pStyle w:val="CodeBlock"/>
            </w:pPr>
            <w:r>
              <w:t>Document: EmployeeHandbook.pdf</w:t>
            </w:r>
          </w:p>
          <w:p>
            <w:pPr>
              <w:pStyle w:val="CodeBlock"/>
            </w:pPr>
            <w:r>
              <w:t>Content: Employee Handbook</w:t>
            </w:r>
          </w:p>
          <w:p>
            <w:pPr>
              <w:pStyle w:val="CodeBlock"/>
            </w:pPr>
            <w:r>
              <w:t>Vacation Policy</w:t>
            </w:r>
          </w:p>
          <w:p>
            <w:pPr>
              <w:pStyle w:val="CodeBlock"/>
            </w:pPr>
            <w:r>
              <w:t>Full-time employees receive 25 paid vacation days per calendar year.</w:t>
            </w:r>
          </w:p>
          <w:p>
            <w:pPr>
              <w:pStyle w:val="CodeBlock"/>
            </w:pPr>
            <w:r>
              <w:t>Unused vacation days may be carried over up to a maximum of five days.</w:t>
            </w:r>
          </w:p>
        </w:tc>
      </w:tr>
    </w:tbl>
    <w:p>
      <w:pPr>
        <w:spacing w:after="20"/>
      </w:pPr>
    </w:p>
    <w:p>
      <w:r>
        <w:t>Without --query, the application repeatedly prompts Question (or 'exit'): and reuses the same in-memory collection until the user exits.</w:t>
      </w:r>
    </w:p>
    <w:p>
      <w:r>
        <w:br w:type="page"/>
      </w:r>
    </w:p>
    <w:p>
      <w:pPr>
        <w:pStyle w:val="Heading1"/>
      </w:pPr>
      <w:r>
        <w:t>15. Errors, logging, and troubleshooting</w:t>
      </w:r>
    </w:p>
    <w:tbl>
      <w:tblPr>
        <w:tblStyle w:val="TableGrid"/>
        <w:tblW w:type="dxa" w:w="9360"/>
        <w:jc w:val="left"/>
        <w:tblLayout w:type="fixed"/>
        <w:tblLook w:firstColumn="1" w:firstRow="1" w:lastColumn="0" w:lastRow="0" w:noHBand="0" w:noVBand="1" w:val="04A0"/>
        <w:tblInd w:w="120" w:type="dxa"/>
      </w:tblPr>
      <w:tblGrid>
        <w:gridCol w:w="2900"/>
        <w:gridCol w:w="3160"/>
        <w:gridCol w:w="3300"/>
      </w:tblGrid>
      <w:tr>
        <w:trPr>
          <w:tblHeader w:val="true"/>
          <w:cantSplit/>
        </w:trPr>
        <w:tc>
          <w:tcPr>
            <w:tcW w:type="dxa" w:w="2900"/>
            <w:shd w:fill="E8EEF5"/>
            <w:vAlign w:val="center"/>
            <w:tcMar>
              <w:top w:w="90" w:type="dxa"/>
              <w:start w:w="120" w:type="dxa"/>
              <w:bottom w:w="90" w:type="dxa"/>
              <w:end w:w="120" w:type="dxa"/>
            </w:tcMar>
          </w:tcPr>
          <w:p>
            <w:pPr>
              <w:spacing w:after="0"/>
            </w:pPr>
            <w:r>
              <w:rPr>
                <w:b/>
                <w:color w:val="0B2545"/>
              </w:rPr>
              <w:t>Symptom</w:t>
            </w:r>
          </w:p>
        </w:tc>
        <w:tc>
          <w:tcPr>
            <w:tcW w:type="dxa" w:w="3160"/>
            <w:shd w:fill="E8EEF5"/>
            <w:vAlign w:val="center"/>
            <w:tcMar>
              <w:top w:w="90" w:type="dxa"/>
              <w:start w:w="120" w:type="dxa"/>
              <w:bottom w:w="90" w:type="dxa"/>
              <w:end w:w="120" w:type="dxa"/>
            </w:tcMar>
          </w:tcPr>
          <w:p>
            <w:pPr>
              <w:spacing w:after="0"/>
            </w:pPr>
            <w:r>
              <w:rPr>
                <w:b/>
                <w:color w:val="0B2545"/>
              </w:rPr>
              <w:t>Cause</w:t>
            </w:r>
          </w:p>
        </w:tc>
        <w:tc>
          <w:tcPr>
            <w:tcW w:type="dxa" w:w="3300"/>
            <w:shd w:fill="E8EEF5"/>
            <w:vAlign w:val="center"/>
            <w:tcMar>
              <w:top w:w="90" w:type="dxa"/>
              <w:start w:w="120" w:type="dxa"/>
              <w:bottom w:w="90" w:type="dxa"/>
              <w:end w:w="120" w:type="dxa"/>
            </w:tcMar>
          </w:tcPr>
          <w:p>
            <w:pPr>
              <w:spacing w:after="0"/>
            </w:pPr>
            <w:r>
              <w:rPr>
                <w:b/>
                <w:color w:val="0B2545"/>
              </w:rPr>
              <w:t>Action</w:t>
            </w:r>
          </w:p>
        </w:tc>
      </w:tr>
      <w:tr>
        <w:trPr>
          <w:cantSplit/>
        </w:trPr>
        <w:tc>
          <w:tcPr>
            <w:tcW w:type="dxa" w:w="2900"/>
            <w:vAlign w:val="center"/>
            <w:tcMar>
              <w:top w:w="90" w:type="dxa"/>
              <w:start w:w="120" w:type="dxa"/>
              <w:bottom w:w="90" w:type="dxa"/>
              <w:end w:w="120" w:type="dxa"/>
            </w:tcMar>
          </w:tcPr>
          <w:p>
            <w:pPr>
              <w:spacing w:after="0" w:line="264" w:lineRule="auto"/>
            </w:pPr>
            <w:r>
              <w:t>.env not found</w:t>
            </w:r>
          </w:p>
        </w:tc>
        <w:tc>
          <w:tcPr>
            <w:tcW w:type="dxa" w:w="3160"/>
            <w:vAlign w:val="center"/>
            <w:tcMar>
              <w:top w:w="90" w:type="dxa"/>
              <w:start w:w="120" w:type="dxa"/>
              <w:bottom w:w="90" w:type="dxa"/>
              <w:end w:w="120" w:type="dxa"/>
            </w:tcMar>
          </w:tcPr>
          <w:p>
            <w:pPr>
              <w:spacing w:after="0" w:line="264" w:lineRule="auto"/>
            </w:pPr>
            <w:r>
              <w:t>Startup configuration file is missing.</w:t>
            </w:r>
          </w:p>
        </w:tc>
        <w:tc>
          <w:tcPr>
            <w:tcW w:type="dxa" w:w="3300"/>
            <w:vAlign w:val="center"/>
            <w:tcMar>
              <w:top w:w="90" w:type="dxa"/>
              <w:start w:w="120" w:type="dxa"/>
              <w:bottom w:w="90" w:type="dxa"/>
              <w:end w:w="120" w:type="dxa"/>
            </w:tcMar>
          </w:tcPr>
          <w:p>
            <w:pPr>
              <w:spacing w:after="0" w:line="264" w:lineRule="auto"/>
            </w:pPr>
            <w:r>
              <w:t>Copy .env.example to .env and configure one provider.</w:t>
            </w:r>
          </w:p>
        </w:tc>
      </w:tr>
      <w:tr>
        <w:trPr>
          <w:cantSplit/>
        </w:trPr>
        <w:tc>
          <w:tcPr>
            <w:tcW w:type="dxa" w:w="2900"/>
            <w:vAlign w:val="center"/>
            <w:tcMar>
              <w:top w:w="90" w:type="dxa"/>
              <w:start w:w="120" w:type="dxa"/>
              <w:bottom w:w="90" w:type="dxa"/>
              <w:end w:w="120" w:type="dxa"/>
            </w:tcMar>
          </w:tcPr>
          <w:p>
            <w:pPr>
              <w:spacing w:after="0" w:line="264" w:lineRule="auto"/>
            </w:pPr>
            <w:r>
              <w:t>AI_PROVIDER must be Azure or Ollama</w:t>
            </w:r>
          </w:p>
        </w:tc>
        <w:tc>
          <w:tcPr>
            <w:tcW w:type="dxa" w:w="3160"/>
            <w:vAlign w:val="center"/>
            <w:tcMar>
              <w:top w:w="90" w:type="dxa"/>
              <w:start w:w="120" w:type="dxa"/>
              <w:bottom w:w="90" w:type="dxa"/>
              <w:end w:w="120" w:type="dxa"/>
            </w:tcMar>
          </w:tcPr>
          <w:p>
            <w:pPr>
              <w:spacing w:after="0" w:line="264" w:lineRule="auto"/>
            </w:pPr>
            <w:r>
              <w:t>Unsupported or misspelled provider value.</w:t>
            </w:r>
          </w:p>
        </w:tc>
        <w:tc>
          <w:tcPr>
            <w:tcW w:type="dxa" w:w="3300"/>
            <w:vAlign w:val="center"/>
            <w:tcMar>
              <w:top w:w="90" w:type="dxa"/>
              <w:start w:w="120" w:type="dxa"/>
              <w:bottom w:w="90" w:type="dxa"/>
              <w:end w:w="120" w:type="dxa"/>
            </w:tcMar>
          </w:tcPr>
          <w:p>
            <w:pPr>
              <w:spacing w:after="0" w:line="264" w:lineRule="auto"/>
            </w:pPr>
            <w:r>
              <w:t>Use exactly Azure or Ollama; comparison is case-insensitive.</w:t>
            </w:r>
          </w:p>
        </w:tc>
      </w:tr>
      <w:tr>
        <w:trPr>
          <w:cantSplit/>
        </w:trPr>
        <w:tc>
          <w:tcPr>
            <w:tcW w:type="dxa" w:w="2900"/>
            <w:vAlign w:val="center"/>
            <w:tcMar>
              <w:top w:w="90" w:type="dxa"/>
              <w:start w:w="120" w:type="dxa"/>
              <w:bottom w:w="90" w:type="dxa"/>
              <w:end w:w="120" w:type="dxa"/>
            </w:tcMar>
          </w:tcPr>
          <w:p>
            <w:pPr>
              <w:spacing w:after="0" w:line="264" w:lineRule="auto"/>
            </w:pPr>
            <w:r>
              <w:t>Missing required provider configuration</w:t>
            </w:r>
          </w:p>
        </w:tc>
        <w:tc>
          <w:tcPr>
            <w:tcW w:type="dxa" w:w="3160"/>
            <w:vAlign w:val="center"/>
            <w:tcMar>
              <w:top w:w="90" w:type="dxa"/>
              <w:start w:w="120" w:type="dxa"/>
              <w:bottom w:w="90" w:type="dxa"/>
              <w:end w:w="120" w:type="dxa"/>
            </w:tcMar>
          </w:tcPr>
          <w:p>
            <w:pPr>
              <w:spacing w:after="0" w:line="264" w:lineRule="auto"/>
            </w:pPr>
            <w:r>
              <w:t>A selected-provider field is empty.</w:t>
            </w:r>
          </w:p>
        </w:tc>
        <w:tc>
          <w:tcPr>
            <w:tcW w:type="dxa" w:w="3300"/>
            <w:vAlign w:val="center"/>
            <w:tcMar>
              <w:top w:w="90" w:type="dxa"/>
              <w:start w:w="120" w:type="dxa"/>
              <w:bottom w:w="90" w:type="dxa"/>
              <w:end w:w="120" w:type="dxa"/>
            </w:tcMar>
          </w:tcPr>
          <w:p>
            <w:pPr>
              <w:spacing w:after="0" w:line="264" w:lineRule="auto"/>
            </w:pPr>
            <w:r>
              <w:t>Complete endpoint, model/deployment, and Azure key when applicable.</w:t>
            </w:r>
          </w:p>
        </w:tc>
      </w:tr>
      <w:tr>
        <w:trPr>
          <w:cantSplit/>
        </w:trPr>
        <w:tc>
          <w:tcPr>
            <w:tcW w:type="dxa" w:w="2900"/>
            <w:vAlign w:val="center"/>
            <w:tcMar>
              <w:top w:w="90" w:type="dxa"/>
              <w:start w:w="120" w:type="dxa"/>
              <w:bottom w:w="90" w:type="dxa"/>
              <w:end w:w="120" w:type="dxa"/>
            </w:tcMar>
          </w:tcPr>
          <w:p>
            <w:pPr>
              <w:spacing w:after="0" w:line="264" w:lineRule="auto"/>
            </w:pPr>
            <w:r>
              <w:t>Data directory was not found</w:t>
            </w:r>
          </w:p>
        </w:tc>
        <w:tc>
          <w:tcPr>
            <w:tcW w:type="dxa" w:w="3160"/>
            <w:vAlign w:val="center"/>
            <w:tcMar>
              <w:top w:w="90" w:type="dxa"/>
              <w:start w:w="120" w:type="dxa"/>
              <w:bottom w:w="90" w:type="dxa"/>
              <w:end w:w="120" w:type="dxa"/>
            </w:tcMar>
          </w:tcPr>
          <w:p>
            <w:pPr>
              <w:spacing w:after="0" w:line="264" w:lineRule="auto"/>
            </w:pPr>
            <w:r>
              <w:t>Application started from the wrong working directory or Data/ is missing.</w:t>
            </w:r>
          </w:p>
        </w:tc>
        <w:tc>
          <w:tcPr>
            <w:tcW w:type="dxa" w:w="3300"/>
            <w:vAlign w:val="center"/>
            <w:tcMar>
              <w:top w:w="90" w:type="dxa"/>
              <w:start w:w="120" w:type="dxa"/>
              <w:bottom w:w="90" w:type="dxa"/>
              <w:end w:w="120" w:type="dxa"/>
            </w:tcMar>
          </w:tcPr>
          <w:p>
            <w:pPr>
              <w:spacing w:after="0" w:line="264" w:lineRule="auto"/>
            </w:pPr>
            <w:r>
              <w:t>Run from ProcessDataAI or create Data/.</w:t>
            </w:r>
          </w:p>
        </w:tc>
      </w:tr>
      <w:tr>
        <w:trPr>
          <w:cantSplit/>
        </w:trPr>
        <w:tc>
          <w:tcPr>
            <w:tcW w:type="dxa" w:w="2900"/>
            <w:vAlign w:val="center"/>
            <w:tcMar>
              <w:top w:w="90" w:type="dxa"/>
              <w:start w:w="120" w:type="dxa"/>
              <w:bottom w:w="90" w:type="dxa"/>
              <w:end w:w="120" w:type="dxa"/>
            </w:tcMar>
          </w:tcPr>
          <w:p>
            <w:pPr>
              <w:spacing w:after="0" w:line="264" w:lineRule="auto"/>
            </w:pPr>
            <w:r>
              <w:t>Data contains no PDF files</w:t>
            </w:r>
          </w:p>
        </w:tc>
        <w:tc>
          <w:tcPr>
            <w:tcW w:type="dxa" w:w="3160"/>
            <w:vAlign w:val="center"/>
            <w:tcMar>
              <w:top w:w="90" w:type="dxa"/>
              <w:start w:w="120" w:type="dxa"/>
              <w:bottom w:w="90" w:type="dxa"/>
              <w:end w:w="120" w:type="dxa"/>
            </w:tcMar>
          </w:tcPr>
          <w:p>
            <w:pPr>
              <w:spacing w:after="0" w:line="264" w:lineRule="auto"/>
            </w:pPr>
            <w:r>
              <w:t>No top-level *.pdf files were discovered.</w:t>
            </w:r>
          </w:p>
        </w:tc>
        <w:tc>
          <w:tcPr>
            <w:tcW w:type="dxa" w:w="3300"/>
            <w:vAlign w:val="center"/>
            <w:tcMar>
              <w:top w:w="90" w:type="dxa"/>
              <w:start w:w="120" w:type="dxa"/>
              <w:bottom w:w="90" w:type="dxa"/>
              <w:end w:w="120" w:type="dxa"/>
            </w:tcMar>
          </w:tcPr>
          <w:p>
            <w:pPr>
              <w:spacing w:after="0" w:line="264" w:lineRule="auto"/>
            </w:pPr>
            <w:r>
              <w:t>Add text-bearing PDFs; subdirectories are not searched.</w:t>
            </w:r>
          </w:p>
        </w:tc>
      </w:tr>
      <w:tr>
        <w:trPr>
          <w:cantSplit/>
        </w:trPr>
        <w:tc>
          <w:tcPr>
            <w:tcW w:type="dxa" w:w="2900"/>
            <w:vAlign w:val="center"/>
            <w:tcMar>
              <w:top w:w="90" w:type="dxa"/>
              <w:start w:w="120" w:type="dxa"/>
              <w:bottom w:w="90" w:type="dxa"/>
              <w:end w:w="120" w:type="dxa"/>
            </w:tcMar>
          </w:tcPr>
          <w:p>
            <w:pPr>
              <w:spacing w:after="0" w:line="264" w:lineRule="auto"/>
            </w:pPr>
            <w:r>
              <w:t>Contains no extractable text</w:t>
            </w:r>
          </w:p>
        </w:tc>
        <w:tc>
          <w:tcPr>
            <w:tcW w:type="dxa" w:w="3160"/>
            <w:vAlign w:val="center"/>
            <w:tcMar>
              <w:top w:w="90" w:type="dxa"/>
              <w:start w:w="120" w:type="dxa"/>
              <w:bottom w:w="90" w:type="dxa"/>
              <w:end w:w="120" w:type="dxa"/>
            </w:tcMar>
          </w:tcPr>
          <w:p>
            <w:pPr>
              <w:spacing w:after="0" w:line="264" w:lineRule="auto"/>
            </w:pPr>
            <w:r>
              <w:t>The PDF is image-only, scanned, or blank.</w:t>
            </w:r>
          </w:p>
        </w:tc>
        <w:tc>
          <w:tcPr>
            <w:tcW w:type="dxa" w:w="3300"/>
            <w:vAlign w:val="center"/>
            <w:tcMar>
              <w:top w:w="90" w:type="dxa"/>
              <w:start w:w="120" w:type="dxa"/>
              <w:bottom w:w="90" w:type="dxa"/>
              <w:end w:w="120" w:type="dxa"/>
            </w:tcMar>
          </w:tcPr>
          <w:p>
            <w:pPr>
              <w:spacing w:after="0" w:line="264" w:lineRule="auto"/>
            </w:pPr>
            <w:r>
              <w:t>Use a text PDF, remove it, or add an OCR stage in a future version.</w:t>
            </w:r>
          </w:p>
        </w:tc>
      </w:tr>
      <w:tr>
        <w:trPr>
          <w:cantSplit/>
        </w:trPr>
        <w:tc>
          <w:tcPr>
            <w:tcW w:type="dxa" w:w="2900"/>
            <w:vAlign w:val="center"/>
            <w:tcMar>
              <w:top w:w="90" w:type="dxa"/>
              <w:start w:w="120" w:type="dxa"/>
              <w:bottom w:w="90" w:type="dxa"/>
              <w:end w:w="120" w:type="dxa"/>
            </w:tcMar>
          </w:tcPr>
          <w:p>
            <w:pPr>
              <w:spacing w:after="0" w:line="264" w:lineRule="auto"/>
            </w:pPr>
            <w:r>
              <w:t>Embedding generation failed</w:t>
            </w:r>
          </w:p>
        </w:tc>
        <w:tc>
          <w:tcPr>
            <w:tcW w:type="dxa" w:w="3160"/>
            <w:vAlign w:val="center"/>
            <w:tcMar>
              <w:top w:w="90" w:type="dxa"/>
              <w:start w:w="120" w:type="dxa"/>
              <w:bottom w:w="90" w:type="dxa"/>
              <w:end w:w="120" w:type="dxa"/>
            </w:tcMar>
          </w:tcPr>
          <w:p>
            <w:pPr>
              <w:spacing w:after="0" w:line="264" w:lineRule="auto"/>
            </w:pPr>
            <w:r>
              <w:t>Endpoint, model, credentials, network, or Ollama availability problem.</w:t>
            </w:r>
          </w:p>
        </w:tc>
        <w:tc>
          <w:tcPr>
            <w:tcW w:type="dxa" w:w="3300"/>
            <w:vAlign w:val="center"/>
            <w:tcMar>
              <w:top w:w="90" w:type="dxa"/>
              <w:start w:w="120" w:type="dxa"/>
              <w:bottom w:w="90" w:type="dxa"/>
              <w:end w:w="120" w:type="dxa"/>
            </w:tcMar>
          </w:tcPr>
          <w:p>
            <w:pPr>
              <w:spacing w:after="0" w:line="264" w:lineRule="auto"/>
            </w:pPr>
            <w:r>
              <w:t>Check .env, confirm the model exists, and test endpoint reachability.</w:t>
            </w:r>
          </w:p>
        </w:tc>
      </w:tr>
      <w:tr>
        <w:trPr>
          <w:cantSplit/>
        </w:trPr>
        <w:tc>
          <w:tcPr>
            <w:tcW w:type="dxa" w:w="2900"/>
            <w:vAlign w:val="center"/>
            <w:tcMar>
              <w:top w:w="90" w:type="dxa"/>
              <w:start w:w="120" w:type="dxa"/>
              <w:bottom w:w="90" w:type="dxa"/>
              <w:end w:w="120" w:type="dxa"/>
            </w:tcMar>
          </w:tcPr>
          <w:p>
            <w:pPr>
              <w:spacing w:after="0" w:line="264" w:lineRule="auto"/>
            </w:pPr>
            <w:r>
              <w:t>No PDFs could be ingested</w:t>
            </w:r>
          </w:p>
        </w:tc>
        <w:tc>
          <w:tcPr>
            <w:tcW w:type="dxa" w:w="3160"/>
            <w:vAlign w:val="center"/>
            <w:tcMar>
              <w:top w:w="90" w:type="dxa"/>
              <w:start w:w="120" w:type="dxa"/>
              <w:bottom w:w="90" w:type="dxa"/>
              <w:end w:w="120" w:type="dxa"/>
            </w:tcMar>
          </w:tcPr>
          <w:p>
            <w:pPr>
              <w:spacing w:after="0" w:line="264" w:lineRule="auto"/>
            </w:pPr>
            <w:r>
              <w:t>Every discovered PDF failed reading or writing.</w:t>
            </w:r>
          </w:p>
        </w:tc>
        <w:tc>
          <w:tcPr>
            <w:tcW w:type="dxa" w:w="3300"/>
            <w:vAlign w:val="center"/>
            <w:tcMar>
              <w:top w:w="90" w:type="dxa"/>
              <w:start w:w="120" w:type="dxa"/>
              <w:bottom w:w="90" w:type="dxa"/>
              <w:end w:w="120" w:type="dxa"/>
            </w:tcMar>
          </w:tcPr>
          <w:p>
            <w:pPr>
              <w:spacing w:after="0" w:line="264" w:lineRule="auto"/>
            </w:pPr>
            <w:r>
              <w:t>Review the preceding per-document errors.</w:t>
            </w:r>
          </w:p>
        </w:tc>
      </w:tr>
      <w:tr>
        <w:trPr>
          <w:cantSplit/>
        </w:trPr>
        <w:tc>
          <w:tcPr>
            <w:tcW w:type="dxa" w:w="2900"/>
            <w:vAlign w:val="center"/>
            <w:tcMar>
              <w:top w:w="90" w:type="dxa"/>
              <w:start w:w="120" w:type="dxa"/>
              <w:bottom w:w="90" w:type="dxa"/>
              <w:end w:w="120" w:type="dxa"/>
            </w:tcMar>
          </w:tcPr>
          <w:p>
            <w:pPr>
              <w:spacing w:after="0" w:line="264" w:lineRule="auto"/>
            </w:pPr>
            <w:r>
              <w:t>Semantic search failed</w:t>
            </w:r>
          </w:p>
        </w:tc>
        <w:tc>
          <w:tcPr>
            <w:tcW w:type="dxa" w:w="3160"/>
            <w:vAlign w:val="center"/>
            <w:tcMar>
              <w:top w:w="90" w:type="dxa"/>
              <w:start w:w="120" w:type="dxa"/>
              <w:bottom w:w="90" w:type="dxa"/>
              <w:end w:w="120" w:type="dxa"/>
            </w:tcMar>
          </w:tcPr>
          <w:p>
            <w:pPr>
              <w:spacing w:after="0" w:line="264" w:lineRule="auto"/>
            </w:pPr>
            <w:r>
              <w:t>Query embedding or vector search failed.</w:t>
            </w:r>
          </w:p>
        </w:tc>
        <w:tc>
          <w:tcPr>
            <w:tcW w:type="dxa" w:w="3300"/>
            <w:vAlign w:val="center"/>
            <w:tcMar>
              <w:top w:w="90" w:type="dxa"/>
              <w:start w:w="120" w:type="dxa"/>
              <w:bottom w:w="90" w:type="dxa"/>
              <w:end w:w="120" w:type="dxa"/>
            </w:tcMar>
          </w:tcPr>
          <w:p>
            <w:pPr>
              <w:spacing w:after="0" w:line="264" w:lineRule="auto"/>
            </w:pPr>
            <w:r>
              <w:t>Check provider health and ensure ingestion completed.</w:t>
            </w:r>
          </w:p>
        </w:tc>
      </w:tr>
    </w:tbl>
    <w:p>
      <w:pPr>
        <w:spacing w:after="20"/>
      </w:pPr>
    </w:p>
    <w:p>
      <w:pPr>
        <w:pStyle w:val="Heading2"/>
      </w:pPr>
      <w:r>
        <w:t>Why PDF errors appear twice</w:t>
      </w:r>
    </w:p>
    <w:p>
      <w:r>
        <w:t>The Microsoft IngestionPipeline logs the exception when reading fails. DocumentSearchService then logs the unsuccessful IngestionResult. Both refer to the same failure. They are fail-level log entries, but they are non-fatal when another document succeeds.</w:t>
      </w:r>
    </w:p>
    <w:p>
      <w:pPr>
        <w:pStyle w:val="Heading2"/>
      </w:pPr>
      <w:r>
        <w:t>Useful success logs</w:t>
      </w:r>
    </w:p>
    <w:p>
      <w:pPr>
        <w:pStyle w:val="ListBullet"/>
      </w:pPr>
      <w:r>
        <w:t>Loaded AI provider confirms provider selection.</w:t>
      </w:r>
    </w:p>
    <w:p>
      <w:pPr>
        <w:pStyle w:val="ListBullet"/>
      </w:pPr>
      <w:r>
        <w:t>Discovered N PDF file(s) confirms directory scanning.</w:t>
      </w:r>
    </w:p>
    <w:p>
      <w:pPr>
        <w:pStyle w:val="ListBullet"/>
      </w:pPr>
      <w:r>
        <w:t>Extracted text from N page(s) confirms PdfPig normalization.</w:t>
      </w:r>
    </w:p>
    <w:p>
      <w:pPr>
        <w:pStyle w:val="ListBullet"/>
      </w:pPr>
      <w:r>
        <w:t>Ingestion completed reports successful documents, chunk count, and elapsed time.</w:t>
      </w:r>
    </w:p>
    <w:p>
      <w:pPr>
        <w:pStyle w:val="ListBullet"/>
      </w:pPr>
      <w:r>
        <w:t>Executing semantic search confirms query execution.</w:t>
      </w:r>
    </w:p>
    <w:p>
      <w:pPr>
        <w:pStyle w:val="Heading1"/>
      </w:pPr>
      <w:r>
        <w:t>16. Limitations and production evolution</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cantSplit/>
        </w:trPr>
        <w:tc>
          <w:tcPr>
            <w:tcW w:type="dxa" w:w="3150"/>
            <w:shd w:fill="E8EEF5"/>
            <w:vAlign w:val="center"/>
            <w:tcMar>
              <w:top w:w="90" w:type="dxa"/>
              <w:start w:w="120" w:type="dxa"/>
              <w:bottom w:w="90" w:type="dxa"/>
              <w:end w:w="120" w:type="dxa"/>
            </w:tcMar>
          </w:tcPr>
          <w:p>
            <w:pPr>
              <w:spacing w:after="0"/>
            </w:pPr>
            <w:r>
              <w:rPr>
                <w:b/>
                <w:color w:val="0B2545"/>
              </w:rPr>
              <w:t>POC limitation</w:t>
            </w:r>
          </w:p>
        </w:tc>
        <w:tc>
          <w:tcPr>
            <w:tcW w:type="dxa" w:w="6210"/>
            <w:shd w:fill="E8EEF5"/>
            <w:vAlign w:val="center"/>
            <w:tcMar>
              <w:top w:w="90" w:type="dxa"/>
              <w:start w:w="120" w:type="dxa"/>
              <w:bottom w:w="90" w:type="dxa"/>
              <w:end w:w="120" w:type="dxa"/>
            </w:tcMar>
          </w:tcPr>
          <w:p>
            <w:pPr>
              <w:spacing w:after="0"/>
            </w:pPr>
            <w:r>
              <w:rPr>
                <w:b/>
                <w:color w:val="0B2545"/>
              </w:rPr>
              <w:t>Production direction</w:t>
            </w:r>
          </w:p>
        </w:tc>
      </w:tr>
      <w:tr>
        <w:trPr>
          <w:cantSplit/>
        </w:trPr>
        <w:tc>
          <w:tcPr>
            <w:tcW w:type="dxa" w:w="3150"/>
            <w:vAlign w:val="center"/>
            <w:tcMar>
              <w:top w:w="90" w:type="dxa"/>
              <w:start w:w="120" w:type="dxa"/>
              <w:bottom w:w="90" w:type="dxa"/>
              <w:end w:w="120" w:type="dxa"/>
            </w:tcMar>
          </w:tcPr>
          <w:p>
            <w:pPr>
              <w:spacing w:after="0" w:line="264" w:lineRule="auto"/>
            </w:pPr>
            <w:r>
              <w:t>In-memory vectors</w:t>
            </w:r>
          </w:p>
        </w:tc>
        <w:tc>
          <w:tcPr>
            <w:tcW w:type="dxa" w:w="6210"/>
            <w:vAlign w:val="center"/>
            <w:tcMar>
              <w:top w:w="90" w:type="dxa"/>
              <w:start w:w="120" w:type="dxa"/>
              <w:bottom w:w="90" w:type="dxa"/>
              <w:end w:w="120" w:type="dxa"/>
            </w:tcMar>
          </w:tcPr>
          <w:p>
            <w:pPr>
              <w:spacing w:after="0" w:line="264" w:lineRule="auto"/>
            </w:pPr>
            <w:r>
              <w:t>Use a supported persistent vector database and define migration/backup behavior.</w:t>
            </w:r>
          </w:p>
        </w:tc>
      </w:tr>
      <w:tr>
        <w:trPr>
          <w:cantSplit/>
        </w:trPr>
        <w:tc>
          <w:tcPr>
            <w:tcW w:type="dxa" w:w="3150"/>
            <w:vAlign w:val="center"/>
            <w:tcMar>
              <w:top w:w="90" w:type="dxa"/>
              <w:start w:w="120" w:type="dxa"/>
              <w:bottom w:w="90" w:type="dxa"/>
              <w:end w:w="120" w:type="dxa"/>
            </w:tcMar>
          </w:tcPr>
          <w:p>
            <w:pPr>
              <w:spacing w:after="0" w:line="264" w:lineRule="auto"/>
            </w:pPr>
            <w:r>
              <w:t>Reingests on every run</w:t>
            </w:r>
          </w:p>
        </w:tc>
        <w:tc>
          <w:tcPr>
            <w:tcW w:type="dxa" w:w="6210"/>
            <w:vAlign w:val="center"/>
            <w:tcMar>
              <w:top w:w="90" w:type="dxa"/>
              <w:start w:w="120" w:type="dxa"/>
              <w:bottom w:w="90" w:type="dxa"/>
              <w:end w:w="120" w:type="dxa"/>
            </w:tcMar>
          </w:tcPr>
          <w:p>
            <w:pPr>
              <w:spacing w:after="0" w:line="264" w:lineRule="auto"/>
            </w:pPr>
            <w:r>
              <w:t>Add document fingerprints, incremental ingestion, and deletion/update handling.</w:t>
            </w:r>
          </w:p>
        </w:tc>
      </w:tr>
      <w:tr>
        <w:trPr>
          <w:cantSplit/>
        </w:trPr>
        <w:tc>
          <w:tcPr>
            <w:tcW w:type="dxa" w:w="3150"/>
            <w:vAlign w:val="center"/>
            <w:tcMar>
              <w:top w:w="90" w:type="dxa"/>
              <w:start w:w="120" w:type="dxa"/>
              <w:bottom w:w="90" w:type="dxa"/>
              <w:end w:w="120" w:type="dxa"/>
            </w:tcMar>
          </w:tcPr>
          <w:p>
            <w:pPr>
              <w:spacing w:after="0" w:line="264" w:lineRule="auto"/>
            </w:pPr>
            <w:r>
              <w:t>No OCR</w:t>
            </w:r>
          </w:p>
        </w:tc>
        <w:tc>
          <w:tcPr>
            <w:tcW w:type="dxa" w:w="6210"/>
            <w:vAlign w:val="center"/>
            <w:tcMar>
              <w:top w:w="90" w:type="dxa"/>
              <w:start w:w="120" w:type="dxa"/>
              <w:bottom w:w="90" w:type="dxa"/>
              <w:end w:w="120" w:type="dxa"/>
            </w:tcMar>
          </w:tcPr>
          <w:p>
            <w:pPr>
              <w:spacing w:after="0" w:line="264" w:lineRule="auto"/>
            </w:pPr>
            <w:r>
              <w:t>Insert an OCR/document-intelligence reader for scanned documents, subject to cost and privacy requirements.</w:t>
            </w:r>
          </w:p>
        </w:tc>
      </w:tr>
      <w:tr>
        <w:trPr>
          <w:cantSplit/>
        </w:trPr>
        <w:tc>
          <w:tcPr>
            <w:tcW w:type="dxa" w:w="3150"/>
            <w:vAlign w:val="center"/>
            <w:tcMar>
              <w:top w:w="90" w:type="dxa"/>
              <w:start w:w="120" w:type="dxa"/>
              <w:bottom w:w="90" w:type="dxa"/>
              <w:end w:w="120" w:type="dxa"/>
            </w:tcMar>
          </w:tcPr>
          <w:p>
            <w:pPr>
              <w:spacing w:after="0" w:line="264" w:lineRule="auto"/>
            </w:pPr>
            <w:r>
              <w:t>One process, one user</w:t>
            </w:r>
          </w:p>
        </w:tc>
        <w:tc>
          <w:tcPr>
            <w:tcW w:type="dxa" w:w="6210"/>
            <w:vAlign w:val="center"/>
            <w:tcMar>
              <w:top w:w="90" w:type="dxa"/>
              <w:start w:w="120" w:type="dxa"/>
              <w:bottom w:w="90" w:type="dxa"/>
              <w:end w:w="120" w:type="dxa"/>
            </w:tcMar>
          </w:tcPr>
          <w:p>
            <w:pPr>
              <w:spacing w:after="0" w:line="264" w:lineRule="auto"/>
            </w:pPr>
            <w:r>
              <w:t>Expose a service API with authentication, tenant isolation, quotas, and cancellation.</w:t>
            </w:r>
          </w:p>
        </w:tc>
      </w:tr>
      <w:tr>
        <w:trPr>
          <w:cantSplit/>
        </w:trPr>
        <w:tc>
          <w:tcPr>
            <w:tcW w:type="dxa" w:w="3150"/>
            <w:vAlign w:val="center"/>
            <w:tcMar>
              <w:top w:w="90" w:type="dxa"/>
              <w:start w:w="120" w:type="dxa"/>
              <w:bottom w:w="90" w:type="dxa"/>
              <w:end w:w="120" w:type="dxa"/>
            </w:tcMar>
          </w:tcPr>
          <w:p>
            <w:pPr>
              <w:spacing w:after="0" w:line="264" w:lineRule="auto"/>
            </w:pPr>
            <w:r>
              <w:t>No generated answer</w:t>
            </w:r>
          </w:p>
        </w:tc>
        <w:tc>
          <w:tcPr>
            <w:tcW w:type="dxa" w:w="6210"/>
            <w:vAlign w:val="center"/>
            <w:tcMar>
              <w:top w:w="90" w:type="dxa"/>
              <w:start w:w="120" w:type="dxa"/>
              <w:bottom w:w="90" w:type="dxa"/>
              <w:end w:w="120" w:type="dxa"/>
            </w:tcMar>
          </w:tcPr>
          <w:p>
            <w:pPr>
              <w:spacing w:after="0" w:line="264" w:lineRule="auto"/>
            </w:pPr>
            <w:r>
              <w:t>Optionally add a chat model that answers only from retrieved chunks and includes citations.</w:t>
            </w:r>
          </w:p>
        </w:tc>
      </w:tr>
      <w:tr>
        <w:trPr>
          <w:cantSplit/>
        </w:trPr>
        <w:tc>
          <w:tcPr>
            <w:tcW w:type="dxa" w:w="3150"/>
            <w:vAlign w:val="center"/>
            <w:tcMar>
              <w:top w:w="90" w:type="dxa"/>
              <w:start w:w="120" w:type="dxa"/>
              <w:bottom w:w="90" w:type="dxa"/>
              <w:end w:w="120" w:type="dxa"/>
            </w:tcMar>
          </w:tcPr>
          <w:p>
            <w:pPr>
              <w:spacing w:after="0" w:line="264" w:lineRule="auto"/>
            </w:pPr>
            <w:r>
              <w:t>No retrieval evaluation</w:t>
            </w:r>
          </w:p>
        </w:tc>
        <w:tc>
          <w:tcPr>
            <w:tcW w:type="dxa" w:w="6210"/>
            <w:vAlign w:val="center"/>
            <w:tcMar>
              <w:top w:w="90" w:type="dxa"/>
              <w:start w:w="120" w:type="dxa"/>
              <w:bottom w:w="90" w:type="dxa"/>
              <w:end w:w="120" w:type="dxa"/>
            </w:tcMar>
          </w:tcPr>
          <w:p>
            <w:pPr>
              <w:spacing w:after="0" w:line="264" w:lineRule="auto"/>
            </w:pPr>
            <w:r>
              <w:t>Build a test set of questions and expected documents; measure recall, ranking, and latency.</w:t>
            </w:r>
          </w:p>
        </w:tc>
      </w:tr>
      <w:tr>
        <w:trPr>
          <w:cantSplit/>
        </w:trPr>
        <w:tc>
          <w:tcPr>
            <w:tcW w:type="dxa" w:w="3150"/>
            <w:vAlign w:val="center"/>
            <w:tcMar>
              <w:top w:w="90" w:type="dxa"/>
              <w:start w:w="120" w:type="dxa"/>
              <w:bottom w:w="90" w:type="dxa"/>
              <w:end w:w="120" w:type="dxa"/>
            </w:tcMar>
          </w:tcPr>
          <w:p>
            <w:pPr>
              <w:spacing w:after="0" w:line="264" w:lineRule="auto"/>
            </w:pPr>
            <w:r>
              <w:t>Dynamic record schema</w:t>
            </w:r>
          </w:p>
        </w:tc>
        <w:tc>
          <w:tcPr>
            <w:tcW w:type="dxa" w:w="6210"/>
            <w:vAlign w:val="center"/>
            <w:tcMar>
              <w:top w:w="90" w:type="dxa"/>
              <w:start w:w="120" w:type="dxa"/>
              <w:bottom w:w="90" w:type="dxa"/>
              <w:end w:w="120" w:type="dxa"/>
            </w:tcMar>
          </w:tcPr>
          <w:p>
            <w:pPr>
              <w:spacing w:after="0" w:line="264" w:lineRule="auto"/>
            </w:pPr>
            <w:r>
              <w:t>Use an explicit typed vector record when the preview API and target provider allow it.</w:t>
            </w:r>
          </w:p>
        </w:tc>
      </w:tr>
      <w:tr>
        <w:trPr>
          <w:cantSplit/>
        </w:trPr>
        <w:tc>
          <w:tcPr>
            <w:tcW w:type="dxa" w:w="3150"/>
            <w:vAlign w:val="center"/>
            <w:tcMar>
              <w:top w:w="90" w:type="dxa"/>
              <w:start w:w="120" w:type="dxa"/>
              <w:bottom w:w="90" w:type="dxa"/>
              <w:end w:w="120" w:type="dxa"/>
            </w:tcMar>
          </w:tcPr>
          <w:p>
            <w:pPr>
              <w:spacing w:after="0" w:line="264" w:lineRule="auto"/>
            </w:pPr>
            <w:r>
              <w:t>Preview packages</w:t>
            </w:r>
          </w:p>
        </w:tc>
        <w:tc>
          <w:tcPr>
            <w:tcW w:type="dxa" w:w="6210"/>
            <w:vAlign w:val="center"/>
            <w:tcMar>
              <w:top w:w="90" w:type="dxa"/>
              <w:start w:w="120" w:type="dxa"/>
              <w:bottom w:w="90" w:type="dxa"/>
              <w:end w:w="120" w:type="dxa"/>
            </w:tcMar>
          </w:tcPr>
          <w:p>
            <w:pPr>
              <w:spacing w:after="0" w:line="264" w:lineRule="auto"/>
            </w:pPr>
            <w:r>
              <w:t>Pin versions, monitor release notes, add integration tests, and budget for API migrations.</w:t>
            </w:r>
          </w:p>
        </w:tc>
      </w:tr>
      <w:tr>
        <w:trPr>
          <w:cantSplit/>
        </w:trPr>
        <w:tc>
          <w:tcPr>
            <w:tcW w:type="dxa" w:w="3150"/>
            <w:vAlign w:val="center"/>
            <w:tcMar>
              <w:top w:w="90" w:type="dxa"/>
              <w:start w:w="120" w:type="dxa"/>
              <w:bottom w:w="90" w:type="dxa"/>
              <w:end w:w="120" w:type="dxa"/>
            </w:tcMar>
          </w:tcPr>
          <w:p>
            <w:pPr>
              <w:spacing w:after="0" w:line="264" w:lineRule="auto"/>
            </w:pPr>
            <w:r>
              <w:t>Local .env secrets</w:t>
            </w:r>
          </w:p>
        </w:tc>
        <w:tc>
          <w:tcPr>
            <w:tcW w:type="dxa" w:w="6210"/>
            <w:vAlign w:val="center"/>
            <w:tcMar>
              <w:top w:w="90" w:type="dxa"/>
              <w:start w:w="120" w:type="dxa"/>
              <w:bottom w:w="90" w:type="dxa"/>
              <w:end w:w="120" w:type="dxa"/>
            </w:tcMar>
          </w:tcPr>
          <w:p>
            <w:pPr>
              <w:spacing w:after="0" w:line="264" w:lineRule="auto"/>
            </w:pPr>
            <w:r>
              <w:t>Use managed identity, workload identity, Key Vault, or deployment-managed secrets.</w:t>
            </w:r>
          </w:p>
        </w:tc>
      </w:tr>
    </w:tbl>
    <w:p>
      <w:pPr>
        <w:spacing w:after="20"/>
      </w:pPr>
    </w:p>
    <w:p>
      <w:r>
        <w:br w:type="page"/>
      </w:r>
    </w:p>
    <w:p>
      <w:pPr>
        <w:pStyle w:val="Heading1"/>
      </w:pPr>
      <w:r>
        <w:t>17. Reimplementation checklist and references</w:t>
      </w:r>
    </w:p>
    <w:p>
      <w:pPr>
        <w:pStyle w:val="Heading2"/>
      </w:pPr>
      <w:r>
        <w:t>Rebuild the POC from an existing console project</w:t>
      </w:r>
    </w:p>
    <w:p>
      <w:pPr>
        <w:pStyle w:val="ListNumber"/>
      </w:pPr>
      <w:r>
        <w:t>Add the required NuGet packages and remove any persistent database connector not needed by the POC.</w:t>
      </w:r>
    </w:p>
    <w:p>
      <w:pPr>
        <w:pStyle w:val="ListNumber"/>
      </w:pPr>
      <w:r>
        <w:t>Create .env.example, ignore .env, load it before host construction, and validate typed options at startup.</w:t>
      </w:r>
    </w:p>
    <w:p>
      <w:pPr>
        <w:pStyle w:val="ListNumber"/>
      </w:pPr>
      <w:r>
        <w:t>Return one IEmbeddingGenerator implementation from a provider factory selected by AI_PROVIDER.</w:t>
      </w:r>
    </w:p>
    <w:p>
      <w:pPr>
        <w:pStyle w:val="ListNumber"/>
      </w:pPr>
      <w:r>
        <w:t>Implement IngestionDocumentReader for the source format; create one IngestionDocument per PDF and page-based sections.</w:t>
      </w:r>
    </w:p>
    <w:p>
      <w:pPr>
        <w:pStyle w:val="ListNumber"/>
      </w:pPr>
      <w:r>
        <w:t>Choose a Microsoft Data Ingestion chunker. Use token chunking when source headings are not trustworthy.</w:t>
      </w:r>
    </w:p>
    <w:p>
      <w:pPr>
        <w:pStyle w:val="ListNumber"/>
      </w:pPr>
      <w:r>
        <w:t>Generate a probe embedding to discover dimensions, then construct InMemoryVectorStore and VectorStoreWriter.</w:t>
      </w:r>
    </w:p>
    <w:p>
      <w:pPr>
        <w:pStyle w:val="ListNumber"/>
      </w:pPr>
      <w:r>
        <w:t>Compose IngestionPipeline and process all PDFs while allowing partial success.</w:t>
      </w:r>
    </w:p>
    <w:p>
      <w:pPr>
        <w:pStyle w:val="ListNumber"/>
      </w:pPr>
      <w:r>
        <w:t>Keep pipeline/writer/store alive through the search phase and dispose them at shutdown.</w:t>
      </w:r>
    </w:p>
    <w:p>
      <w:pPr>
        <w:pStyle w:val="ListNumber"/>
      </w:pPr>
      <w:r>
        <w:t>Call SearchAsync with text and top: 3; print score, source name, and content.</w:t>
      </w:r>
    </w:p>
    <w:p>
      <w:pPr>
        <w:pStyle w:val="ListNumber"/>
      </w:pPr>
      <w:r>
        <w:t>Verify restore, warning-free build, PDF discovery, extraction, chunk count, embeddings, and a known-answer search.</w:t>
      </w:r>
    </w:p>
    <w:p>
      <w:pPr>
        <w:pStyle w:val="Heading2"/>
      </w:pPr>
      <w:r>
        <w:t>Project file links</w:t>
      </w:r>
    </w:p>
    <w:p>
      <w:pPr>
        <w:pStyle w:val="FileReference"/>
      </w:pPr>
      <w:r>
        <w:rPr>
          <w:b/>
        </w:rPr>
        <w:t xml:space="preserve">Entry point: </w:t>
      </w:r>
      <w:hyperlink r:id="rId12">
        <w:r>
          <w:rPr>
            <w:color w:val="1F4D78"/>
            <w:u w:val="single"/>
          </w:rPr>
          <w:t>C:\Users\crist\source\repos\MS-ProcessYourData\ProcessDataAI\Program.cs</w:t>
        </w:r>
      </w:hyperlink>
    </w:p>
    <w:p>
      <w:pPr>
        <w:pStyle w:val="FileReference"/>
      </w:pPr>
      <w:r>
        <w:rPr>
          <w:b/>
        </w:rPr>
        <w:t xml:space="preserve">Project dependencies: </w:t>
      </w:r>
      <w:hyperlink r:id="rId11">
        <w:r>
          <w:rPr>
            <w:color w:val="1F4D78"/>
            <w:u w:val="single"/>
          </w:rPr>
          <w:t>C:\Users\crist\source\repos\MS-ProcessYourData\ProcessDataAI\ProcessDataAI.csproj</w:t>
        </w:r>
      </w:hyperlink>
    </w:p>
    <w:p>
      <w:pPr>
        <w:pStyle w:val="FileReference"/>
      </w:pPr>
      <w:r>
        <w:rPr>
          <w:b/>
        </w:rPr>
        <w:t xml:space="preserve">Environment example: </w:t>
      </w:r>
      <w:hyperlink r:id="rId13">
        <w:r>
          <w:rPr>
            <w:color w:val="1F4D78"/>
            <w:u w:val="single"/>
          </w:rPr>
          <w:t>C:\Users\crist\source\repos\MS-ProcessYourData\ProcessDataAI\.env.example</w:t>
        </w:r>
      </w:hyperlink>
    </w:p>
    <w:p>
      <w:pPr>
        <w:pStyle w:val="FileReference"/>
      </w:pPr>
      <w:r>
        <w:rPr>
          <w:b/>
        </w:rPr>
        <w:t xml:space="preserve">Typed configuration: </w:t>
      </w:r>
      <w:hyperlink r:id="rId15">
        <w:r>
          <w:rPr>
            <w:color w:val="1F4D78"/>
            <w:u w:val="single"/>
          </w:rPr>
          <w:t>C:\Users\crist\source\repos\MS-ProcessYourData\ProcessDataAI\Configuration\AiOptions.cs</w:t>
        </w:r>
      </w:hyperlink>
    </w:p>
    <w:p>
      <w:pPr>
        <w:pStyle w:val="FileReference"/>
      </w:pPr>
      <w:r>
        <w:rPr>
          <w:b/>
        </w:rPr>
        <w:t xml:space="preserve">Configuration validator: </w:t>
      </w:r>
      <w:hyperlink r:id="rId16">
        <w:r>
          <w:rPr>
            <w:color w:val="1F4D78"/>
            <w:u w:val="single"/>
          </w:rPr>
          <w:t>C:\Users\crist\source\repos\MS-ProcessYourData\ProcessDataAI\Configuration\AiOptionsValidator.cs</w:t>
        </w:r>
      </w:hyperlink>
    </w:p>
    <w:p>
      <w:pPr>
        <w:pStyle w:val="FileReference"/>
      </w:pPr>
      <w:r>
        <w:rPr>
          <w:b/>
        </w:rPr>
        <w:t xml:space="preserve">Environment parser: </w:t>
      </w:r>
      <w:hyperlink r:id="rId14">
        <w:r>
          <w:rPr>
            <w:color w:val="1F4D78"/>
            <w:u w:val="single"/>
          </w:rPr>
          <w:t>C:\Users\crist\source\repos\MS-ProcessYourData\ProcessDataAI\Configuration\EnvFile.cs</w:t>
        </w:r>
      </w:hyperlink>
    </w:p>
    <w:p>
      <w:pPr>
        <w:pStyle w:val="FileReference"/>
      </w:pPr>
      <w:r>
        <w:rPr>
          <w:b/>
        </w:rPr>
        <w:t xml:space="preserve">Provider factory: </w:t>
      </w:r>
      <w:hyperlink r:id="rId17">
        <w:r>
          <w:rPr>
            <w:color w:val="1F4D78"/>
            <w:u w:val="single"/>
          </w:rPr>
          <w:t>C:\Users\crist\source\repos\MS-ProcessYourData\ProcessDataAI\Services\EmbeddingGeneratorFactory.cs</w:t>
        </w:r>
      </w:hyperlink>
    </w:p>
    <w:p>
      <w:pPr>
        <w:pStyle w:val="FileReference"/>
      </w:pPr>
      <w:r>
        <w:rPr>
          <w:b/>
        </w:rPr>
        <w:t xml:space="preserve">PDF reader: </w:t>
      </w:r>
      <w:hyperlink r:id="rId18">
        <w:r>
          <w:rPr>
            <w:color w:val="1F4D78"/>
            <w:u w:val="single"/>
          </w:rPr>
          <w:t>C:\Users\crist\source\repos\MS-ProcessYourData\ProcessDataAI\Ingestion\PdfPigDocumentReader.cs</w:t>
        </w:r>
      </w:hyperlink>
    </w:p>
    <w:p>
      <w:pPr>
        <w:pStyle w:val="FileReference"/>
      </w:pPr>
      <w:r>
        <w:rPr>
          <w:b/>
        </w:rPr>
        <w:t xml:space="preserve">Counting writer: </w:t>
      </w:r>
      <w:hyperlink r:id="rId19">
        <w:r>
          <w:rPr>
            <w:color w:val="1F4D78"/>
            <w:u w:val="single"/>
          </w:rPr>
          <w:t>C:\Users\crist\source\repos\MS-ProcessYourData\ProcessDataAI\Ingestion\CountingVectorStoreWriter.cs</w:t>
        </w:r>
      </w:hyperlink>
    </w:p>
    <w:p>
      <w:pPr>
        <w:pStyle w:val="FileReference"/>
      </w:pPr>
      <w:r>
        <w:rPr>
          <w:b/>
        </w:rPr>
        <w:t xml:space="preserve">Ingestion/search service: </w:t>
      </w:r>
      <w:hyperlink r:id="rId20">
        <w:r>
          <w:rPr>
            <w:color w:val="1F4D78"/>
            <w:u w:val="single"/>
          </w:rPr>
          <w:t>C:\Users\crist\source\repos\MS-ProcessYourData\ProcessDataAI\Services\DocumentSearchService.cs</w:t>
        </w:r>
      </w:hyperlink>
    </w:p>
    <w:p>
      <w:pPr>
        <w:pStyle w:val="FileReference"/>
      </w:pPr>
      <w:r>
        <w:rPr>
          <w:b/>
        </w:rPr>
        <w:t xml:space="preserve">Quick README: </w:t>
      </w:r>
      <w:hyperlink r:id="rId21">
        <w:r>
          <w:rPr>
            <w:color w:val="1F4D78"/>
            <w:u w:val="single"/>
          </w:rPr>
          <w:t>C:\Users\crist\source\repos\MS-ProcessYourData\ProcessDataAI\README.md</w:t>
        </w:r>
      </w:hyperlink>
    </w:p>
    <w:p>
      <w:pPr>
        <w:pStyle w:val="Heading2"/>
      </w:pPr>
      <w:r>
        <w:t>Official and package references</w:t>
      </w:r>
    </w:p>
    <w:p>
      <w:pPr>
        <w:spacing w:after="60"/>
      </w:pPr>
      <w:hyperlink r:id="rId22">
        <w:r>
          <w:rPr>
            <w:color w:val="2E74B5"/>
            <w:u w:val="single"/>
          </w:rPr>
          <w:t>Microsoft Data Ingestion quickstart</w:t>
        </w:r>
      </w:hyperlink>
    </w:p>
    <w:p>
      <w:pPr>
        <w:spacing w:after="60"/>
      </w:pPr>
      <w:hyperlink r:id="rId23">
        <w:r>
          <w:rPr>
            <w:color w:val="2E74B5"/>
            <w:u w:val="single"/>
          </w:rPr>
          <w:t>Microsoft Vector Stores guide</w:t>
        </w:r>
      </w:hyperlink>
    </w:p>
    <w:p>
      <w:pPr>
        <w:spacing w:after="60"/>
      </w:pPr>
      <w:hyperlink r:id="rId24">
        <w:r>
          <w:rPr>
            <w:color w:val="2E74B5"/>
            <w:u w:val="single"/>
          </w:rPr>
          <w:t>Microsoft.Extensions.DataIngestion API</w:t>
        </w:r>
      </w:hyperlink>
    </w:p>
    <w:p>
      <w:pPr>
        <w:spacing w:after="60"/>
      </w:pPr>
      <w:hyperlink r:id="rId25">
        <w:r>
          <w:rPr>
            <w:color w:val="2E74B5"/>
            <w:u w:val="single"/>
          </w:rPr>
          <w:t>Microsoft.Extensions.DataIngestion NuGet</w:t>
        </w:r>
      </w:hyperlink>
    </w:p>
    <w:p>
      <w:pPr>
        <w:spacing w:after="60"/>
      </w:pPr>
      <w:hyperlink r:id="rId26">
        <w:r>
          <w:rPr>
            <w:color w:val="2E74B5"/>
            <w:u w:val="single"/>
          </w:rPr>
          <w:t>In-memory vector connector NuGet</w:t>
        </w:r>
      </w:hyperlink>
    </w:p>
    <w:p>
      <w:pPr>
        <w:spacing w:after="60"/>
      </w:pPr>
      <w:hyperlink r:id="rId27">
        <w:r>
          <w:rPr>
            <w:color w:val="2E74B5"/>
            <w:u w:val="single"/>
          </w:rPr>
          <w:t>PdfPig NuGet and usage</w:t>
        </w:r>
      </w:hyperlink>
    </w:p>
    <w:p>
      <w:pPr>
        <w:pStyle w:val="Heading2"/>
      </w:pPr>
      <w:r>
        <w:t>Final mental model</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90" w:type="dxa"/>
              <w:start w:w="120" w:type="dxa"/>
              <w:bottom w:w="90" w:type="dxa"/>
              <w:end w:w="120" w:type="dxa"/>
            </w:tcMar>
            <w:shd w:fill="EAF4EA"/>
          </w:tcPr>
          <w:p>
            <w:pPr>
              <w:pStyle w:val="CalloutText"/>
            </w:pPr>
            <w:r>
              <w:rPr>
                <w:b/>
                <w:color w:val="0B2545"/>
              </w:rPr>
              <w:t xml:space="preserve">Remember the boundary  </w:t>
            </w:r>
            <w:r>
              <w:t>PdfPig turns a PDF into Microsoft's neutral document model. Microsoft Data Ingestion turns that document into chunks. Microsoft.Extensions.AI turns text into vectors. Microsoft.Extensions.VectorData and InMemoryVectorStore store and retrieve those vectors. DocumentSearchService wires the stages together.</w:t>
            </w:r>
          </w:p>
        </w:tc>
      </w:tr>
    </w:tbl>
    <w:p>
      <w:pPr>
        <w:spacing w:after="20"/>
      </w:pPr>
    </w:p>
    <w:sectPr w:rsidR="00FC693F" w:rsidRPr="0006063C" w:rsidSect="00034616">
      <w:headerReference w:type="default" r:id="rId9"/>
      <w:footerReference w:type="default" r:id="rId10"/>
      <w:pgSz w:w="12240" w:h="15840"/>
      <w:pgMar w:top="1152"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573"/>
        <w:sz w:val="18"/>
      </w:rPr>
      <w:t>ProcessDataAI  |  Developer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32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color w:val="24292F"/>
      <w:sz w:val="17"/>
    </w:rPr>
  </w:style>
  <w:style w:type="paragraph" w:customStyle="1" w:styleId="FileReference">
    <w:name w:val="File Reference"/>
    <w:pPr>
      <w:spacing w:after="80"/>
    </w:pPr>
    <w:rPr>
      <w:rFonts w:ascii="Consolas" w:hAnsi="Consolas"/>
      <w:color w:val="1F4D78"/>
      <w:sz w:val="18"/>
    </w:rPr>
  </w:style>
  <w:style w:type="paragraph" w:customStyle="1" w:styleId="CalloutText">
    <w:name w:val="Callout Text"/>
    <w:pPr>
      <w:spacing w:after="0" w:line="276" w:lineRule="auto"/>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crist/source/repos/MS-ProcessYourData/ProcessDataAI/ProcessDataAI.csproj" TargetMode="External"/><Relationship Id="rId12" Type="http://schemas.openxmlformats.org/officeDocument/2006/relationships/hyperlink" Target="file:///C:/Users/crist/source/repos/MS-ProcessYourData/ProcessDataAI/Program.cs" TargetMode="External"/><Relationship Id="rId13" Type="http://schemas.openxmlformats.org/officeDocument/2006/relationships/hyperlink" Target="file:///C:/Users/crist/source/repos/MS-ProcessYourData/ProcessDataAI/.env.example" TargetMode="External"/><Relationship Id="rId14" Type="http://schemas.openxmlformats.org/officeDocument/2006/relationships/hyperlink" Target="file:///C:/Users/crist/source/repos/MS-ProcessYourData/ProcessDataAI/Configuration/EnvFile.cs" TargetMode="External"/><Relationship Id="rId15" Type="http://schemas.openxmlformats.org/officeDocument/2006/relationships/hyperlink" Target="file:///C:/Users/crist/source/repos/MS-ProcessYourData/ProcessDataAI/Configuration/AiOptions.cs" TargetMode="External"/><Relationship Id="rId16" Type="http://schemas.openxmlformats.org/officeDocument/2006/relationships/hyperlink" Target="file:///C:/Users/crist/source/repos/MS-ProcessYourData/ProcessDataAI/Configuration/AiOptionsValidator.cs" TargetMode="External"/><Relationship Id="rId17" Type="http://schemas.openxmlformats.org/officeDocument/2006/relationships/hyperlink" Target="file:///C:/Users/crist/source/repos/MS-ProcessYourData/ProcessDataAI/Services/EmbeddingGeneratorFactory.cs" TargetMode="External"/><Relationship Id="rId18" Type="http://schemas.openxmlformats.org/officeDocument/2006/relationships/hyperlink" Target="file:///C:/Users/crist/source/repos/MS-ProcessYourData/ProcessDataAI/Ingestion/PdfPigDocumentReader.cs" TargetMode="External"/><Relationship Id="rId19" Type="http://schemas.openxmlformats.org/officeDocument/2006/relationships/hyperlink" Target="file:///C:/Users/crist/source/repos/MS-ProcessYourData/ProcessDataAI/Ingestion/CountingVectorStoreWriter.cs" TargetMode="External"/><Relationship Id="rId20" Type="http://schemas.openxmlformats.org/officeDocument/2006/relationships/hyperlink" Target="file:///C:/Users/crist/source/repos/MS-ProcessYourData/ProcessDataAI/Services/DocumentSearchService.cs" TargetMode="External"/><Relationship Id="rId21" Type="http://schemas.openxmlformats.org/officeDocument/2006/relationships/hyperlink" Target="file:///C:/Users/crist/source/repos/MS-ProcessYourData/ProcessDataAI/README.md" TargetMode="External"/><Relationship Id="rId22" Type="http://schemas.openxmlformats.org/officeDocument/2006/relationships/hyperlink" Target="https://learn.microsoft.com/en-us/dotnet/ai/quickstarts/process-data" TargetMode="External"/><Relationship Id="rId23" Type="http://schemas.openxmlformats.org/officeDocument/2006/relationships/hyperlink" Target="https://learn.microsoft.com/en-us/dotnet/ai/vector-stores/how-to/use-vector-stores" TargetMode="External"/><Relationship Id="rId24" Type="http://schemas.openxmlformats.org/officeDocument/2006/relationships/hyperlink" Target="https://learn.microsoft.com/en-us/dotnet/api/microsoft.extensions.dataingestion" TargetMode="External"/><Relationship Id="rId25" Type="http://schemas.openxmlformats.org/officeDocument/2006/relationships/hyperlink" Target="https://www.nuget.org/packages/Microsoft.Extensions.DataIngestion/" TargetMode="External"/><Relationship Id="rId26" Type="http://schemas.openxmlformats.org/officeDocument/2006/relationships/hyperlink" Target="https://www.nuget.org/packages/Microsoft.SemanticKernel.Connectors.InMemory" TargetMode="External"/><Relationship Id="rId27" Type="http://schemas.openxmlformats.org/officeDocument/2006/relationships/hyperlink" Target="https://www.nuget.org/packages/PdfP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ProcessDataAI Document Ingestion and Semantic Search POC - Developer Handout</dc:title>
  <dc:subject>Implementation overview and developer guide</dc:subject>
  <dc:creator>ProcessDataAI Project</dc:creator>
  <cp:keywords>Data Ingestion, Vector Search, Microsoft.Extensions.AI, PdfPig, Ollama, Azure OpenAI</cp:keywords>
  <dc:description>generated by python-docx</dc:description>
  <cp:lastModifiedBy/>
  <cp:revision>1</cp:revision>
  <dcterms:created xsi:type="dcterms:W3CDTF">2013-12-23T23:15:00Z</dcterms:created>
  <dcterms:modified xsi:type="dcterms:W3CDTF">2013-12-23T23:15:00Z</dcterms:modified>
  <cp:category/>
</cp:coreProperties>
</file>