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맑은 고딕" w:cs="맑은 고딕" w:eastAsia="맑은 고딕" w:hAnsi="맑은 고딕"/>
          <w:b/>
          <w:bCs/>
          <w:sz w:val="32"/>
          <w:szCs w:val="32"/>
        </w:rPr>
        <w:t xml:space="preserve">원·하도급사 시공실적 인정비율 검토</w:t>
      </w:r>
    </w:p>
    <w:p>
      <w:pPr>
        <w:spacing w:after="60" w:before="0" w:line="276"/>
        <w:jc w:val="center"/>
      </w:pPr>
      <w:r>
        <w:rPr>
          <w:rFonts w:ascii="맑은 고딕" w:cs="맑은 고딕" w:eastAsia="맑은 고딕" w:hAnsi="맑은 고딕"/>
          <w:sz w:val="20"/>
          <w:szCs w:val="20"/>
        </w:rPr>
        <w:t xml:space="preserve">— 전기공사·노반공사, PQ·종합심사낙찰제·적격심사 —</w:t>
      </w:r>
    </w:p>
    <w:p>
      <w:pPr>
        <w:pBdr>
          <w:bottom w:val="single" w:color="1F3864" w:sz="12" w:space="4"/>
        </w:pBdr>
        <w:spacing w:after="120" w:before="0" w:line="276"/>
        <w:jc w:val="right"/>
      </w:pPr>
      <w:r>
        <w:rPr>
          <w:rFonts w:ascii="맑은 고딕" w:cs="맑은 고딕" w:eastAsia="맑은 고딕" w:hAnsi="맑은 고딕"/>
          <w:sz w:val="18"/>
          <w:szCs w:val="18"/>
        </w:rPr>
        <w:t xml:space="preserve">2026. 10. 19.</w:t>
      </w:r>
    </w:p>
    <w:p>
      <w:pPr>
        <w:keepNext/>
        <w:spacing w:after="80" w:before="160" w:line="276"/>
      </w:pPr>
      <w:r>
        <w:rPr>
          <w:rFonts w:ascii="맑은 고딕" w:cs="맑은 고딕" w:eastAsia="맑은 고딕" w:hAnsi="맑은 고딕"/>
          <w:b/>
          <w:bCs/>
          <w:color w:val="1F3864"/>
          <w:sz w:val="23"/>
          <w:szCs w:val="23"/>
        </w:rPr>
        <w:t xml:space="preserve">1. 검토 결과</w:t>
      </w:r>
    </w:p>
    <w:p>
      <w:pPr>
        <w:pStyle w:val="ListParagraph"/>
        <w:numPr>
          <w:ilvl w:val="0"/>
          <w:numId w:val="2"/>
        </w:numPr>
        <w:spacing w:after="80" w:before="0" w:line="276"/>
      </w:pPr>
      <w:r>
        <w:rPr>
          <w:rFonts w:ascii="맑은 고딕" w:cs="맑은 고딕" w:eastAsia="맑은 고딕" w:hAnsi="맑은 고딕"/>
          <w:sz w:val="20"/>
          <w:szCs w:val="20"/>
        </w:rPr>
        <w:t xml:space="preserve">원도급사 실적은 종합공사 발주면 하도급분을 모두 더하고(노반), 전문공사 발주면 절반을 더하며, 전기공사 발주면 뺍니다. 하도급사는 어느 경우든 하도급액 그대로입니다.</w:t>
      </w:r>
    </w:p>
    <w:p>
      <w:pPr>
        <w:pStyle w:val="ListParagraph"/>
        <w:numPr>
          <w:ilvl w:val="0"/>
          <w:numId w:val="2"/>
        </w:numPr>
        <w:spacing w:after="80" w:before="0" w:line="276"/>
      </w:pPr>
      <w:r>
        <w:rPr>
          <w:rFonts w:ascii="맑은 고딕" w:cs="맑은 고딕" w:eastAsia="맑은 고딕" w:hAnsi="맑은 고딕"/>
          <w:sz w:val="20"/>
          <w:szCs w:val="20"/>
        </w:rPr>
        <w:t xml:space="preserve">공단 PQ·종합심사낙찰제·적격심사는 모두 「입찰참가자격 사전심사기준」 [별표3] 3.마목을 공통 근거로 합니다. 이 배분 방식은 건설산업기본법 시행규칙 제23조⑩, 전기공사업법 시행규칙 [별표2]의 시공능력평가 실적 산정 방식과 같습니다.</w:t>
      </w:r>
    </w:p>
    <w:p>
      <w:pPr>
        <w:keepNext/>
        <w:spacing w:after="80" w:before="160" w:line="276"/>
      </w:pPr>
      <w:r>
        <w:rPr>
          <w:rFonts w:ascii="맑은 고딕" w:cs="맑은 고딕" w:eastAsia="맑은 고딕" w:hAnsi="맑은 고딕"/>
          <w:b/>
          <w:bCs/>
          <w:color w:val="1F3864"/>
          <w:sz w:val="23"/>
          <w:szCs w:val="23"/>
        </w:rPr>
        <w:t xml:space="preserve">2. 발주 유형별 실적 배분 기준</w:t>
      </w:r>
    </w:p>
    <w:p>
      <w:pPr>
        <w:spacing w:after="40" w:before="0" w:line="276"/>
        <w:jc w:val="right"/>
      </w:pPr>
      <w:r>
        <w:rPr>
          <w:rFonts w:ascii="맑은 고딕" w:cs="맑은 고딕" w:eastAsia="맑은 고딕" w:hAnsi="맑은 고딕"/>
          <w:sz w:val="17"/>
          <w:szCs w:val="17"/>
        </w:rPr>
        <w:t xml:space="preserve">(원도급사 / 하도급사 실적. 예시: 도급액 100억원 중 40억원 하도급, 단위 억원)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69"/>
        <w:gridCol w:w="3569"/>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0" w:before="0" w:line="240"/>
              <w:jc w:val="center"/>
            </w:pPr>
            <w:r>
              <w:rPr>
                <w:rFonts w:ascii="맑은 고딕" w:cs="맑은 고딕" w:eastAsia="맑은 고딕" w:hAnsi="맑은 고딕"/>
                <w:b/>
                <w:bCs/>
                <w:sz w:val="17"/>
                <w:szCs w:val="17"/>
              </w:rPr>
              <w:t xml:space="preserve">발주 유형</w:t>
            </w:r>
          </w:p>
        </w:tc>
        <w:tc>
          <w:tcPr>
            <w:tcW w:type="dxa" w:w="436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0" w:before="0" w:line="240"/>
              <w:jc w:val="center"/>
            </w:pPr>
            <w:r>
              <w:rPr>
                <w:rFonts w:ascii="맑은 고딕" w:cs="맑은 고딕" w:eastAsia="맑은 고딕" w:hAnsi="맑은 고딕"/>
                <w:b/>
                <w:bCs/>
                <w:sz w:val="17"/>
                <w:szCs w:val="17"/>
              </w:rPr>
              <w:t xml:space="preserve">노반</w:t>
            </w:r>
          </w:p>
        </w:tc>
        <w:tc>
          <w:tcPr>
            <w:tcW w:type="dxa" w:w="3569"/>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0" w:before="0" w:line="240"/>
              <w:jc w:val="center"/>
            </w:pPr>
            <w:r>
              <w:rPr>
                <w:rFonts w:ascii="맑은 고딕" w:cs="맑은 고딕" w:eastAsia="맑은 고딕" w:hAnsi="맑은 고딕"/>
                <w:b/>
                <w:bCs/>
                <w:sz w:val="17"/>
                <w:szCs w:val="17"/>
              </w:rPr>
              <w:t xml:space="preserve">전기</w:t>
            </w:r>
          </w:p>
        </w:tc>
      </w:tr>
      <w:tr>
        <w:trPr>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종합공사 발주</w:t>
            </w:r>
          </w:p>
          <w:p>
            <w:pPr>
              <w:spacing w:after="0" w:before="0" w:line="240"/>
              <w:jc w:val="left"/>
            </w:pPr>
            <w:r>
              <w:rPr>
                <w:rFonts w:ascii="맑은 고딕" w:cs="맑은 고딕" w:eastAsia="맑은 고딕" w:hAnsi="맑은 고딕"/>
                <w:b w:val="false"/>
                <w:bCs w:val="false"/>
                <w:sz w:val="17"/>
                <w:szCs w:val="17"/>
              </w:rPr>
              <w:t xml:space="preserve">(건설산업기본법)</w:t>
            </w:r>
          </w:p>
        </w:tc>
        <w:tc>
          <w:tcPr>
            <w:tcW w:type="dxa" w:w="43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종합사 원도급: 100 / 40 (하도급분 가산)</w:t>
            </w:r>
          </w:p>
          <w:p>
            <w:pPr>
              <w:spacing w:after="0" w:before="0" w:line="240"/>
              <w:jc w:val="left"/>
            </w:pPr>
            <w:r>
              <w:rPr>
                <w:rFonts w:ascii="맑은 고딕" w:cs="맑은 고딕" w:eastAsia="맑은 고딕" w:hAnsi="맑은 고딕"/>
                <w:b w:val="false"/>
                <w:bCs w:val="false"/>
                <w:sz w:val="17"/>
                <w:szCs w:val="17"/>
              </w:rPr>
              <w:t xml:space="preserve">  공단 [별표3] 3.마.(1)·(6)</w:t>
            </w:r>
          </w:p>
          <w:p>
            <w:pPr>
              <w:spacing w:after="0" w:before="0" w:line="240"/>
              <w:jc w:val="left"/>
            </w:pPr>
            <w:r>
              <w:rPr>
                <w:rFonts w:ascii="맑은 고딕" w:cs="맑은 고딕" w:eastAsia="맑은 고딕" w:hAnsi="맑은 고딕"/>
                <w:b w:val="false"/>
                <w:bCs w:val="false"/>
                <w:sz w:val="17"/>
                <w:szCs w:val="17"/>
              </w:rPr>
              <w:t xml:space="preserve">  건산법 시행규칙 제23조⑩1호</w:t>
            </w:r>
          </w:p>
          <w:p>
            <w:pPr>
              <w:spacing w:after="0" w:before="0" w:line="240"/>
              <w:jc w:val="left"/>
            </w:pPr>
            <w:r>
              <w:rPr>
                <w:rFonts w:ascii="맑은 고딕" w:cs="맑은 고딕" w:eastAsia="맑은 고딕" w:hAnsi="맑은 고딕"/>
                <w:b w:val="false"/>
                <w:bCs w:val="false"/>
                <w:sz w:val="17"/>
                <w:szCs w:val="17"/>
              </w:rPr>
              <w:t xml:space="preserve">2020.12.31 이전 발주, 종합→종합: 60 / 40</w:t>
            </w:r>
          </w:p>
          <w:p>
            <w:pPr>
              <w:spacing w:after="0" w:before="0" w:line="240"/>
              <w:jc w:val="left"/>
            </w:pPr>
            <w:r>
              <w:rPr>
                <w:rFonts w:ascii="맑은 고딕" w:cs="맑은 고딕" w:eastAsia="맑은 고딕" w:hAnsi="맑은 고딕"/>
                <w:b w:val="false"/>
                <w:bCs w:val="false"/>
                <w:sz w:val="17"/>
                <w:szCs w:val="17"/>
              </w:rPr>
              <w:t xml:space="preserve">  공단 (1) 단서 · 건산법 시행규칙 부칙</w:t>
            </w:r>
          </w:p>
          <w:p>
            <w:pPr>
              <w:spacing w:after="0" w:before="0" w:line="240"/>
              <w:jc w:val="left"/>
            </w:pPr>
            <w:r>
              <w:rPr>
                <w:rFonts w:ascii="맑은 고딕" w:cs="맑은 고딕" w:eastAsia="맑은 고딕" w:hAnsi="맑은 고딕"/>
                <w:b w:val="false"/>
                <w:bCs w:val="false"/>
                <w:sz w:val="17"/>
                <w:szCs w:val="17"/>
              </w:rPr>
              <w:t xml:space="preserve">전문사 원도급(상호진출): 80 / 40 (1/2 가산)</w:t>
            </w:r>
          </w:p>
          <w:p>
            <w:pPr>
              <w:spacing w:after="0" w:before="0" w:line="240"/>
              <w:jc w:val="left"/>
            </w:pPr>
            <w:r>
              <w:rPr>
                <w:rFonts w:ascii="맑은 고딕" w:cs="맑은 고딕" w:eastAsia="맑은 고딕" w:hAnsi="맑은 고딕"/>
                <w:b w:val="false"/>
                <w:bCs w:val="false"/>
                <w:sz w:val="17"/>
                <w:szCs w:val="17"/>
              </w:rPr>
              <w:t xml:space="preserve">  공단 (3) · 건산법 시행규칙 제23조⑩6의4</w:t>
            </w:r>
          </w:p>
        </w:tc>
        <w:tc>
          <w:tcPr>
            <w:tcW w:type="dxa" w:w="35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해당 없음</w:t>
            </w:r>
          </w:p>
          <w:p>
            <w:pPr>
              <w:spacing w:after="0" w:before="0" w:line="240"/>
              <w:jc w:val="left"/>
            </w:pPr>
            <w:r>
              <w:rPr>
                <w:rFonts w:ascii="맑은 고딕" w:cs="맑은 고딕" w:eastAsia="맑은 고딕" w:hAnsi="맑은 고딕"/>
                <w:b w:val="false"/>
                <w:bCs w:val="false"/>
                <w:sz w:val="17"/>
                <w:szCs w:val="17"/>
              </w:rPr>
              <w:t xml:space="preserve">분리발주 원칙: 전기공사업법 제11조①</w:t>
            </w:r>
          </w:p>
          <w:p>
            <w:pPr>
              <w:spacing w:after="0" w:before="0" w:line="240"/>
              <w:jc w:val="left"/>
            </w:pPr>
            <w:r>
              <w:rPr>
                <w:rFonts w:ascii="맑은 고딕" w:cs="맑은 고딕" w:eastAsia="맑은 고딕" w:hAnsi="맑은 고딕"/>
                <w:b w:val="false"/>
                <w:bCs w:val="false"/>
                <w:sz w:val="17"/>
                <w:szCs w:val="17"/>
              </w:rPr>
              <w:t xml:space="preserve">예외(같은 조 ③)로 포함되어도 전기사 간</w:t>
            </w:r>
          </w:p>
          <w:p>
            <w:pPr>
              <w:spacing w:after="0" w:before="0" w:line="240"/>
              <w:jc w:val="left"/>
            </w:pPr>
            <w:r>
              <w:rPr>
                <w:rFonts w:ascii="맑은 고딕" w:cs="맑은 고딕" w:eastAsia="맑은 고딕" w:hAnsi="맑은 고딕"/>
                <w:b w:val="false"/>
                <w:bCs w:val="false"/>
                <w:sz w:val="17"/>
                <w:szCs w:val="17"/>
              </w:rPr>
              <w:t xml:space="preserve">하도급은 아래 전기공사 발주 기준 적용</w:t>
            </w:r>
          </w:p>
        </w:tc>
      </w:tr>
      <w:tr>
        <w:trPr>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전문공사 발주</w:t>
            </w:r>
          </w:p>
          <w:p>
            <w:pPr>
              <w:spacing w:after="0" w:before="0" w:line="240"/>
              <w:jc w:val="left"/>
            </w:pPr>
            <w:r>
              <w:rPr>
                <w:rFonts w:ascii="맑은 고딕" w:cs="맑은 고딕" w:eastAsia="맑은 고딕" w:hAnsi="맑은 고딕"/>
                <w:b w:val="false"/>
                <w:bCs w:val="false"/>
                <w:sz w:val="17"/>
                <w:szCs w:val="17"/>
              </w:rPr>
              <w:t xml:space="preserve">(건설산업기본법)</w:t>
            </w:r>
          </w:p>
        </w:tc>
        <w:tc>
          <w:tcPr>
            <w:tcW w:type="dxa" w:w="43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종합사·전문사 원도급 모두: 80 / 40</w:t>
            </w:r>
          </w:p>
          <w:p>
            <w:pPr>
              <w:spacing w:after="0" w:before="0" w:line="240"/>
              <w:jc w:val="left"/>
            </w:pPr>
            <w:r>
              <w:rPr>
                <w:rFonts w:ascii="맑은 고딕" w:cs="맑은 고딕" w:eastAsia="맑은 고딕" w:hAnsi="맑은 고딕"/>
                <w:b w:val="false"/>
                <w:bCs w:val="false"/>
                <w:sz w:val="17"/>
                <w:szCs w:val="17"/>
              </w:rPr>
              <w:t xml:space="preserve">  (하도급분 1/2 가산)</w:t>
            </w:r>
          </w:p>
          <w:p>
            <w:pPr>
              <w:spacing w:after="0" w:before="0" w:line="240"/>
              <w:jc w:val="left"/>
            </w:pPr>
            <w:r>
              <w:rPr>
                <w:rFonts w:ascii="맑은 고딕" w:cs="맑은 고딕" w:eastAsia="맑은 고딕" w:hAnsi="맑은 고딕"/>
                <w:b w:val="false"/>
                <w:bCs w:val="false"/>
                <w:sz w:val="17"/>
                <w:szCs w:val="17"/>
              </w:rPr>
              <w:t xml:space="preserve">  공단 [별표3] 3.마.(4)·(5)·(6)</w:t>
            </w:r>
          </w:p>
          <w:p>
            <w:pPr>
              <w:spacing w:after="0" w:before="0" w:line="240"/>
              <w:jc w:val="left"/>
            </w:pPr>
            <w:r>
              <w:rPr>
                <w:rFonts w:ascii="맑은 고딕" w:cs="맑은 고딕" w:eastAsia="맑은 고딕" w:hAnsi="맑은 고딕"/>
                <w:b w:val="false"/>
                <w:bCs w:val="false"/>
                <w:sz w:val="17"/>
                <w:szCs w:val="17"/>
              </w:rPr>
              <w:t xml:space="preserve">  건산법 시행규칙 제23조⑩6의2</w:t>
            </w:r>
          </w:p>
        </w:tc>
        <w:tc>
          <w:tcPr>
            <w:tcW w:type="dxa" w:w="35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해당 없음</w:t>
            </w:r>
          </w:p>
          <w:p>
            <w:pPr>
              <w:spacing w:after="0" w:before="0" w:line="240"/>
              <w:jc w:val="left"/>
            </w:pPr>
            <w:r>
              <w:rPr>
                <w:rFonts w:ascii="맑은 고딕" w:cs="맑은 고딕" w:eastAsia="맑은 고딕" w:hAnsi="맑은 고딕"/>
                <w:b w:val="false"/>
                <w:bCs w:val="false"/>
                <w:sz w:val="17"/>
                <w:szCs w:val="17"/>
              </w:rPr>
              <w:t xml:space="preserve">전기공사는 건설산업기본법상</w:t>
            </w:r>
          </w:p>
          <w:p>
            <w:pPr>
              <w:spacing w:after="0" w:before="0" w:line="240"/>
              <w:jc w:val="left"/>
            </w:pPr>
            <w:r>
              <w:rPr>
                <w:rFonts w:ascii="맑은 고딕" w:cs="맑은 고딕" w:eastAsia="맑은 고딕" w:hAnsi="맑은 고딕"/>
                <w:b w:val="false"/>
                <w:bCs w:val="false"/>
                <w:sz w:val="17"/>
                <w:szCs w:val="17"/>
              </w:rPr>
              <w:t xml:space="preserve">전문공사가 아님</w:t>
            </w:r>
          </w:p>
        </w:tc>
      </w:tr>
      <w:tr>
        <w:trPr>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전기공사 발주</w:t>
            </w:r>
          </w:p>
          <w:p>
            <w:pPr>
              <w:spacing w:after="0" w:before="0" w:line="240"/>
              <w:jc w:val="left"/>
            </w:pPr>
            <w:r>
              <w:rPr>
                <w:rFonts w:ascii="맑은 고딕" w:cs="맑은 고딕" w:eastAsia="맑은 고딕" w:hAnsi="맑은 고딕"/>
                <w:b w:val="false"/>
                <w:bCs w:val="false"/>
                <w:sz w:val="17"/>
                <w:szCs w:val="17"/>
              </w:rPr>
              <w:t xml:space="preserve">(전기공사업법)</w:t>
            </w:r>
          </w:p>
        </w:tc>
        <w:tc>
          <w:tcPr>
            <w:tcW w:type="dxa" w:w="43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w:t>
            </w:r>
          </w:p>
        </w:tc>
        <w:tc>
          <w:tcPr>
            <w:tcW w:type="dxa" w:w="3569"/>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전기사→전기사 하도급: 60 / 40</w:t>
            </w:r>
          </w:p>
          <w:p>
            <w:pPr>
              <w:spacing w:after="0" w:before="0" w:line="240"/>
              <w:jc w:val="left"/>
            </w:pPr>
            <w:r>
              <w:rPr>
                <w:rFonts w:ascii="맑은 고딕" w:cs="맑은 고딕" w:eastAsia="맑은 고딕" w:hAnsi="맑은 고딕"/>
                <w:b w:val="false"/>
                <w:bCs w:val="false"/>
                <w:sz w:val="17"/>
                <w:szCs w:val="17"/>
              </w:rPr>
              <w:t xml:space="preserve">  (하도급분 차감)</w:t>
            </w:r>
          </w:p>
          <w:p>
            <w:pPr>
              <w:spacing w:after="0" w:before="0" w:line="240"/>
              <w:jc w:val="left"/>
            </w:pPr>
            <w:r>
              <w:rPr>
                <w:rFonts w:ascii="맑은 고딕" w:cs="맑은 고딕" w:eastAsia="맑은 고딕" w:hAnsi="맑은 고딕"/>
                <w:b w:val="false"/>
                <w:bCs w:val="false"/>
                <w:sz w:val="17"/>
                <w:szCs w:val="17"/>
              </w:rPr>
              <w:t xml:space="preserve">  공단 [별표3] 3.마.(8)</w:t>
            </w:r>
          </w:p>
          <w:p>
            <w:pPr>
              <w:spacing w:after="0" w:before="0" w:line="240"/>
              <w:jc w:val="left"/>
            </w:pPr>
            <w:r>
              <w:rPr>
                <w:rFonts w:ascii="맑은 고딕" w:cs="맑은 고딕" w:eastAsia="맑은 고딕" w:hAnsi="맑은 고딕"/>
                <w:b w:val="false"/>
                <w:bCs w:val="false"/>
                <w:sz w:val="17"/>
                <w:szCs w:val="17"/>
              </w:rPr>
              <w:t xml:space="preserve">  전기분야 하도급지침 제24조①</w:t>
            </w:r>
          </w:p>
          <w:p>
            <w:pPr>
              <w:spacing w:after="0" w:before="0" w:line="240"/>
              <w:jc w:val="left"/>
            </w:pPr>
            <w:r>
              <w:rPr>
                <w:rFonts w:ascii="맑은 고딕" w:cs="맑은 고딕" w:eastAsia="맑은 고딕" w:hAnsi="맑은 고딕"/>
                <w:b w:val="false"/>
                <w:bCs w:val="false"/>
                <w:sz w:val="17"/>
                <w:szCs w:val="17"/>
              </w:rPr>
              <w:t xml:space="preserve">  전기공사업법 시행규칙 [별표2] 가.1)</w:t>
            </w:r>
          </w:p>
        </w:tc>
      </w:tr>
    </w:tbl>
    <w:p>
      <w:pPr>
        <w:spacing w:after="80" w:before="40" w:line="276"/>
      </w:pPr>
      <w:r>
        <w:rPr>
          <w:rFonts w:ascii="맑은 고딕" w:cs="맑은 고딕" w:eastAsia="맑은 고딕" w:hAnsi="맑은 고딕"/>
          <w:sz w:val="17"/>
          <w:szCs w:val="17"/>
        </w:rPr>
        <w:t xml:space="preserve">※ 공동도급은 원도급 금액에 지분율을 먼저 곱합니다(전기분야 지침 제24조①1가). 재하도급분은 하수급자 실적에 1/2을 가산합니다(공단 3.마.(7), 건산법 시행규칙 제23조⑩6의3).</w:t>
      </w:r>
    </w:p>
    <w:p>
      <w:pPr>
        <w:keepNext/>
        <w:spacing w:after="80" w:before="160" w:line="276"/>
      </w:pPr>
      <w:r>
        <w:rPr>
          <w:rFonts w:ascii="맑은 고딕" w:cs="맑은 고딕" w:eastAsia="맑은 고딕" w:hAnsi="맑은 고딕"/>
          <w:b/>
          <w:bCs/>
          <w:color w:val="1F3864"/>
          <w:sz w:val="23"/>
          <w:szCs w:val="23"/>
        </w:rPr>
        <w:t xml:space="preserve">3. 평가별 적용 근거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638"/>
        <w:gridCol w:w="2500"/>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0" w:before="0" w:line="240"/>
              <w:jc w:val="center"/>
            </w:pPr>
            <w:r>
              <w:rPr>
                <w:rFonts w:ascii="맑은 고딕" w:cs="맑은 고딕" w:eastAsia="맑은 고딕" w:hAnsi="맑은 고딕"/>
                <w:b/>
                <w:bCs/>
                <w:sz w:val="17"/>
                <w:szCs w:val="17"/>
              </w:rPr>
              <w:t xml:space="preserve">평가</w:t>
            </w:r>
          </w:p>
        </w:tc>
        <w:tc>
          <w:tcPr>
            <w:tcW w:type="dxa" w:w="4638"/>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0" w:before="0" w:line="240"/>
              <w:jc w:val="center"/>
            </w:pPr>
            <w:r>
              <w:rPr>
                <w:rFonts w:ascii="맑은 고딕" w:cs="맑은 고딕" w:eastAsia="맑은 고딕" w:hAnsi="맑은 고딕"/>
                <w:b/>
                <w:bCs/>
                <w:sz w:val="17"/>
                <w:szCs w:val="17"/>
              </w:rPr>
              <w:t xml:space="preserve">하도급 실적 인정 근거</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center"/>
          </w:tcPr>
          <w:p>
            <w:pPr>
              <w:spacing w:after="0" w:before="0" w:line="240"/>
              <w:jc w:val="center"/>
            </w:pPr>
            <w:r>
              <w:rPr>
                <w:rFonts w:ascii="맑은 고딕" w:cs="맑은 고딕" w:eastAsia="맑은 고딕" w:hAnsi="맑은 고딕"/>
                <w:b/>
                <w:bCs/>
                <w:sz w:val="17"/>
                <w:szCs w:val="17"/>
              </w:rPr>
              <w:t xml:space="preserve">공동수급체 합산</w:t>
            </w:r>
          </w:p>
        </w:tc>
      </w:tr>
      <w:tr>
        <w:trPr>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PQ</w:t>
            </w:r>
          </w:p>
          <w:p>
            <w:pPr>
              <w:spacing w:after="0" w:before="0" w:line="240"/>
              <w:jc w:val="left"/>
            </w:pPr>
            <w:r>
              <w:rPr>
                <w:rFonts w:ascii="맑은 고딕" w:cs="맑은 고딕" w:eastAsia="맑은 고딕" w:hAnsi="맑은 고딕"/>
                <w:b w:val="false"/>
                <w:bCs w:val="false"/>
                <w:sz w:val="17"/>
                <w:szCs w:val="17"/>
              </w:rPr>
              <w:t xml:space="preserve">(입찰참가자격 사전심사기준)</w:t>
            </w:r>
          </w:p>
        </w:tc>
        <w:tc>
          <w:tcPr>
            <w:tcW w:type="dxa" w:w="4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제7조④1: 범위는 [별표1], 제출·평가는 [별표3]</w:t>
            </w:r>
          </w:p>
          <w:p>
            <w:pPr>
              <w:spacing w:after="0" w:before="0" w:line="240"/>
              <w:jc w:val="left"/>
            </w:pPr>
            <w:r>
              <w:rPr>
                <w:rFonts w:ascii="맑은 고딕" w:cs="맑은 고딕" w:eastAsia="맑은 고딕" w:hAnsi="맑은 고딕"/>
                <w:b w:val="false"/>
                <w:bCs w:val="false"/>
                <w:sz w:val="17"/>
                <w:szCs w:val="17"/>
              </w:rPr>
              <w:t xml:space="preserve">최근 5년 실적은 관련협회 자료</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구성원 실적 × 시공비율</w:t>
            </w:r>
          </w:p>
        </w:tc>
      </w:tr>
      <w:tr>
        <w:trPr>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종합심사낙찰제</w:t>
            </w:r>
          </w:p>
          <w:p>
            <w:pPr>
              <w:spacing w:after="0" w:before="0" w:line="240"/>
              <w:jc w:val="left"/>
            </w:pPr>
            <w:r>
              <w:rPr>
                <w:rFonts w:ascii="맑은 고딕" w:cs="맑은 고딕" w:eastAsia="맑은 고딕" w:hAnsi="맑은 고딕"/>
                <w:b w:val="false"/>
                <w:bCs w:val="false"/>
                <w:sz w:val="17"/>
                <w:szCs w:val="17"/>
              </w:rPr>
              <w:t xml:space="preserve">(세부심사기준)</w:t>
            </w:r>
          </w:p>
        </w:tc>
        <w:tc>
          <w:tcPr>
            <w:tcW w:type="dxa" w:w="4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[별표2] 1.라: PQ [별표1]·[별표3]을 따름</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단순 합산(간이형은 × 시공비율)</w:t>
            </w:r>
          </w:p>
          <w:p>
            <w:pPr>
              <w:spacing w:after="0" w:before="0" w:line="240"/>
              <w:jc w:val="left"/>
            </w:pPr>
            <w:r>
              <w:rPr>
                <w:rFonts w:ascii="맑은 고딕" w:cs="맑은 고딕" w:eastAsia="맑은 고딕" w:hAnsi="맑은 고딕"/>
                <w:b w:val="false"/>
                <w:bCs w:val="false"/>
                <w:sz w:val="17"/>
                <w:szCs w:val="17"/>
              </w:rPr>
              <w:t xml:space="preserve">(제13조①1가)</w:t>
            </w:r>
          </w:p>
        </w:tc>
      </w:tr>
      <w:tr>
        <w:trPr>
          <w:tblHeader w:val="false"/>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적격심사</w:t>
            </w:r>
          </w:p>
          <w:p>
            <w:pPr>
              <w:spacing w:after="0" w:before="0" w:line="240"/>
              <w:jc w:val="left"/>
            </w:pPr>
            <w:r>
              <w:rPr>
                <w:rFonts w:ascii="맑은 고딕" w:cs="맑은 고딕" w:eastAsia="맑은 고딕" w:hAnsi="맑은 고딕"/>
                <w:b w:val="false"/>
                <w:bCs w:val="false"/>
                <w:sz w:val="17"/>
                <w:szCs w:val="17"/>
              </w:rPr>
              <w:t xml:space="preserve">(공사낙찰적격세부심사기준)</w:t>
            </w:r>
          </w:p>
        </w:tc>
        <w:tc>
          <w:tcPr>
            <w:tcW w:type="dxa" w:w="4638"/>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제2조③1가: PQ기준을 따름</w:t>
            </w:r>
          </w:p>
          <w:p>
            <w:pPr>
              <w:spacing w:after="0" w:before="0" w:line="240"/>
              <w:jc w:val="left"/>
            </w:pPr>
            <w:r>
              <w:rPr>
                <w:rFonts w:ascii="맑은 고딕" w:cs="맑은 고딕" w:eastAsia="맑은 고딕" w:hAnsi="맑은 고딕"/>
                <w:b w:val="false"/>
                <w:bCs w:val="false"/>
                <w:sz w:val="17"/>
                <w:szCs w:val="17"/>
              </w:rPr>
              <w:t xml:space="preserve">상호시장 진출은 국토부 고시(제2조⑦1)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line="240"/>
              <w:jc w:val="left"/>
            </w:pPr>
            <w:r>
              <w:rPr>
                <w:rFonts w:ascii="맑은 고딕" w:cs="맑은 고딕" w:eastAsia="맑은 고딕" w:hAnsi="맑은 고딕"/>
                <w:b w:val="false"/>
                <w:bCs w:val="false"/>
                <w:sz w:val="17"/>
                <w:szCs w:val="17"/>
              </w:rPr>
              <w:t xml:space="preserve">구성원 실적 × 시공비율</w:t>
            </w:r>
          </w:p>
          <w:p>
            <w:pPr>
              <w:spacing w:after="0" w:before="0" w:line="240"/>
              <w:jc w:val="left"/>
            </w:pPr>
            <w:r>
              <w:rPr>
                <w:rFonts w:ascii="맑은 고딕" w:cs="맑은 고딕" w:eastAsia="맑은 고딕" w:hAnsi="맑은 고딕"/>
                <w:b w:val="false"/>
                <w:bCs w:val="false"/>
                <w:sz w:val="17"/>
                <w:szCs w:val="17"/>
              </w:rPr>
              <w:t xml:space="preserve">([붙임1])</w:t>
            </w:r>
          </w:p>
        </w:tc>
      </w:tr>
    </w:tbl>
    <w:p>
      <w:pPr>
        <w:keepNext/>
        <w:spacing w:after="80" w:before="160" w:line="276"/>
      </w:pPr>
      <w:r>
        <w:rPr>
          <w:rFonts w:ascii="맑은 고딕" w:cs="맑은 고딕" w:eastAsia="맑은 고딕" w:hAnsi="맑은 고딕"/>
          <w:b/>
          <w:bCs/>
          <w:color w:val="1F3864"/>
          <w:sz w:val="23"/>
          <w:szCs w:val="23"/>
        </w:rPr>
        <w:t xml:space="preserve">4. 유의사항</w:t>
      </w:r>
    </w:p>
    <w:p>
      <w:pPr>
        <w:pStyle w:val="ListParagraph"/>
        <w:numPr>
          <w:ilvl w:val="0"/>
          <w:numId w:val="2"/>
        </w:numPr>
        <w:spacing w:after="80" w:before="0" w:line="276"/>
      </w:pPr>
      <w:r>
        <w:rPr>
          <w:rFonts w:ascii="맑은 고딕" w:cs="맑은 고딕" w:eastAsia="맑은 고딕" w:hAnsi="맑은 고딕"/>
          <w:sz w:val="20"/>
          <w:szCs w:val="20"/>
        </w:rPr>
        <w:t xml:space="preserve">2021.5.27. 개정 전에도 종합→전문 하도급은 원도급자·하수급자 각각의 실적으로 인정했습니다(구 [별표3] 마.⑶). 2020.12.31. 단서는 건산법 시행규칙 부칙(2020.10.7.)의 시행일(공공 2021.1.1.)을 따른 것입니다.</w:t>
      </w:r>
    </w:p>
    <w:p>
      <w:pPr>
        <w:pStyle w:val="ListParagraph"/>
        <w:numPr>
          <w:ilvl w:val="0"/>
          <w:numId w:val="2"/>
        </w:numPr>
        <w:spacing w:after="80" w:before="0" w:line="276"/>
      </w:pPr>
      <w:r>
        <w:rPr>
          <w:rFonts w:ascii="맑은 고딕" w:cs="맑은 고딕" w:eastAsia="맑은 고딕" w:hAnsi="맑은 고딕"/>
          <w:sz w:val="20"/>
          <w:szCs w:val="20"/>
        </w:rPr>
        <w:t xml:space="preserve">법령 기준은 시공능력평가(최근 5년 실적)에, 공단 [별표3]은 동일·유사공사 실적에 쓰이며 배분 방식은 같습니다. 하도급 실적은 원도급자 증명이 추가로 필요합니다(PQ [별표3] 1.라).</w:t>
      </w:r>
    </w:p>
    <w:p>
      <w:pPr>
        <w:pStyle w:val="ListParagraph"/>
        <w:numPr>
          <w:ilvl w:val="0"/>
          <w:numId w:val="2"/>
        </w:numPr>
        <w:spacing w:after="80" w:before="0" w:line="276"/>
      </w:pPr>
      <w:r>
        <w:rPr>
          <w:rFonts w:ascii="맑은 고딕" w:cs="맑은 고딕" w:eastAsia="맑은 고딕" w:hAnsi="맑은 고딕"/>
          <w:sz w:val="20"/>
          <w:szCs w:val="20"/>
        </w:rPr>
        <w:t xml:space="preserve">전기공사업법 시행규칙 [별표2](2012.9.14. 개정본)와 국토부 상호시장 진출 실적 인정기준 고시는 현행본 대조가 필요합니다.</w:t>
      </w:r>
    </w:p>
    <w:p>
      <w:pPr>
        <w:spacing w:after="80" w:before="80" w:line="276"/>
      </w:pPr>
      <w:r>
        <w:rPr>
          <w:rFonts w:ascii="맑은 고딕" w:cs="맑은 고딕" w:eastAsia="맑은 고딕" w:hAnsi="맑은 고딕"/>
          <w:sz w:val="17"/>
          <w:szCs w:val="17"/>
        </w:rPr>
        <w:t xml:space="preserve">붙임  1~4·8. 공단 기준  5~7. 관계 법령 (각 발췌).  끝.</w:t>
      </w:r>
    </w:p>
    <w:p>
      <w:pPr>
        <w:pageBreakBefore/>
        <w:spacing w:after="20"/>
      </w:pPr>
      <w:r>
        <w:rPr>
          <w:rFonts w:ascii="맑은 고딕" w:cs="맑은 고딕" w:eastAsia="맑은 고딕" w:hAnsi="맑은 고딕"/>
          <w:b/>
          <w:bCs/>
          <w:color w:val="1F3864"/>
          <w:sz w:val="20"/>
          <w:szCs w:val="20"/>
        </w:rPr>
        <w:t xml:space="preserve">붙임 1</w:t>
      </w:r>
    </w:p>
    <w:p>
      <w:pPr>
        <w:spacing w:after="20" w:before="0" w:line="276"/>
      </w:pPr>
      <w:r>
        <w:rPr>
          <w:rFonts w:ascii="맑은 고딕" w:cs="맑은 고딕" w:eastAsia="맑은 고딕" w:hAnsi="맑은 고딕"/>
          <w:b/>
          <w:bCs/>
          <w:sz w:val="28"/>
          <w:szCs w:val="28"/>
        </w:rPr>
        <w:t xml:space="preserve">입찰참가자격 사전심사기준(PQ) 발췌</w:t>
      </w:r>
    </w:p>
    <w:p>
      <w:pPr>
        <w:pBdr>
          <w:bottom w:val="single" w:color="1F3864" w:sz="12" w:space="4"/>
        </w:pBdr>
        <w:spacing w:after="160" w:before="0" w:line="276"/>
      </w:pPr>
      <w:r>
        <w:rPr>
          <w:rFonts w:ascii="맑은 고딕" w:cs="맑은 고딕" w:eastAsia="맑은 고딕" w:hAnsi="맑은 고딕"/>
          <w:color w:val="595959"/>
          <w:sz w:val="17"/>
          <w:szCs w:val="17"/>
        </w:rPr>
        <w:t xml:space="preserve">국가철도공단 입찰참가자격 사전심사기준 (22차 개정 2026.03.24, 시행 2026.03.30)</w:t>
      </w:r>
    </w:p>
    <w:p>
      <w:pPr>
        <w:keepNext/>
        <w:spacing w:after="60" w:before="120" w:line="276"/>
      </w:pPr>
      <w:r>
        <w:rPr>
          <w:rFonts w:ascii="맑은 고딕" w:cs="맑은 고딕" w:eastAsia="맑은 고딕" w:hAnsi="맑은 고딕"/>
          <w:b/>
          <w:bCs/>
          <w:sz w:val="20"/>
          <w:szCs w:val="20"/>
        </w:rPr>
        <w:t xml:space="preserve">■ 본문 제7조(평가방법) 제4항 제1호</w:t>
      </w:r>
    </w:p>
    <w:p>
      <w:pPr>
        <w:spacing w:after="50" w:before="0" w:line="276"/>
        <w:ind w:left="200"/>
      </w:pPr>
      <w:r>
        <w:rPr>
          <w:rFonts w:ascii="맑은 고딕" w:cs="맑은 고딕" w:eastAsia="맑은 고딕" w:hAnsi="맑은 고딕"/>
          <w:sz w:val="19"/>
          <w:szCs w:val="19"/>
        </w:rPr>
        <w:t xml:space="preserve">④ 공사이행능력부문은 시공경험분야, 기술능력분야, 건설안전분야 및 신인도분야를 종합적으로 평가하며, 분야별 평가방법은 다음과 같다. &lt;개정 2026.03.24&gt;</w:t>
      </w:r>
    </w:p>
    <w:p>
      <w:pPr>
        <w:spacing w:after="50" w:before="0" w:line="276"/>
        <w:ind w:left="200"/>
      </w:pPr>
      <w:r>
        <w:rPr>
          <w:rFonts w:ascii="맑은 고딕" w:cs="맑은 고딕" w:eastAsia="맑은 고딕" w:hAnsi="맑은 고딕"/>
          <w:sz w:val="19"/>
          <w:szCs w:val="19"/>
        </w:rPr>
        <w:t xml:space="preserve">1. 시공경험평가</w:t>
      </w:r>
    </w:p>
    <w:p>
      <w:pPr>
        <w:spacing w:after="50" w:before="0" w:line="276"/>
        <w:ind w:left="200"/>
      </w:pPr>
      <w:r>
        <w:rPr>
          <w:rFonts w:ascii="맑은 고딕" w:cs="맑은 고딕" w:eastAsia="맑은 고딕" w:hAnsi="맑은 고딕"/>
          <w:sz w:val="19"/>
          <w:szCs w:val="19"/>
        </w:rPr>
        <w:t xml:space="preserve">가. 최근 10년간 해당공사와 동일한 종류의 공사(이하 "동일공사"라 한다)실적 및 유사한 종류의 공사(이하 "유사공사"라 한다)실적의 범위는 "별표1"에서 정하는 바에 의한다. 다만, 우리 공단이 경쟁성 확보 등을 위해 필요하다고 인정하는 경우 입찰공고일 기준 최근 20년 이내의 범위에서 우리 공단이 정하는 기간 이내 준공된 시공실적을 기준으로 심사할 수 있다. &lt;개정 2014.10.29, 2025.11.20&gt;</w:t>
      </w:r>
    </w:p>
    <w:p>
      <w:pPr>
        <w:spacing w:after="50" w:before="0" w:line="276"/>
        <w:ind w:left="200"/>
      </w:pPr>
      <w:r>
        <w:rPr>
          <w:rFonts w:ascii="맑은 고딕" w:cs="맑은 고딕" w:eastAsia="맑은 고딕" w:hAnsi="맑은 고딕"/>
          <w:sz w:val="19"/>
          <w:szCs w:val="19"/>
        </w:rPr>
        <w:t xml:space="preserve">나. 동일공사 및 유사공사의 시공실적 제출 및 평가는 "별표3"에 의한다.</w:t>
      </w:r>
    </w:p>
    <w:p>
      <w:pPr>
        <w:spacing w:after="50" w:before="0" w:line="276"/>
        <w:ind w:left="200"/>
      </w:pPr>
      <w:r>
        <w:rPr>
          <w:rFonts w:ascii="맑은 고딕" w:cs="맑은 고딕" w:eastAsia="맑은 고딕" w:hAnsi="맑은 고딕"/>
          <w:sz w:val="19"/>
          <w:szCs w:val="19"/>
        </w:rPr>
        <w:t xml:space="preserve">다. 최근 5년간 공사실적은 대한건설협회, 대한전문건설협회, 한국전기공사협회 또는 한국정보통신공사협회 등 관련법령에 의거 설립된 협회(이하 "관련협회"라 한다)의 통계완료 최종년도를 기준으로 최근 5년간 실적자료(별지 제7호서식)로 평가하며, 자료의 누락, 오류 등으로 인한 불이익에 대한 책임은 해당업체에 있다. &lt;개정 2014.10.29&gt;</w:t>
      </w:r>
    </w:p>
    <w:p>
      <w:pPr>
        <w:keepNext/>
        <w:spacing w:after="60" w:before="120" w:line="276"/>
      </w:pPr>
      <w:r>
        <w:rPr>
          <w:rFonts w:ascii="맑은 고딕" w:cs="맑은 고딕" w:eastAsia="맑은 고딕" w:hAnsi="맑은 고딕"/>
          <w:b/>
          <w:bCs/>
          <w:sz w:val="20"/>
          <w:szCs w:val="20"/>
        </w:rPr>
        <w:t xml:space="preserve">■ [별표3] 시공실적 제출 및 평가방법 — 1. 증명방법 라목</w:t>
      </w:r>
    </w:p>
    <w:p>
      <w:pPr>
        <w:spacing w:after="50" w:before="0" w:line="276"/>
        <w:ind w:left="200"/>
      </w:pPr>
      <w:r>
        <w:rPr>
          <w:rFonts w:ascii="맑은 고딕" w:cs="맑은 고딕" w:eastAsia="맑은 고딕" w:hAnsi="맑은 고딕"/>
          <w:sz w:val="19"/>
          <w:szCs w:val="19"/>
        </w:rPr>
        <w:t xml:space="preserve">라. 하도급공사 : “가” 또는 “나”의 방법에 따라 증명하되, 원도급자의 증명이 추가되어야 한다.</w:t>
      </w:r>
    </w:p>
    <w:p>
      <w:pPr>
        <w:keepNext/>
        <w:spacing w:after="60" w:before="120" w:line="276"/>
      </w:pPr>
      <w:r>
        <w:rPr>
          <w:rFonts w:ascii="맑은 고딕" w:cs="맑은 고딕" w:eastAsia="맑은 고딕" w:hAnsi="맑은 고딕"/>
          <w:b/>
          <w:bCs/>
          <w:sz w:val="20"/>
          <w:szCs w:val="20"/>
        </w:rPr>
        <w:t xml:space="preserve">■ [별표3] 3. 시공실적 심사방법 — 라. 공동계약의 실적 인정(발췌)</w:t>
      </w:r>
    </w:p>
    <w:p>
      <w:pPr>
        <w:spacing w:after="50" w:before="0" w:line="276"/>
        <w:ind w:left="200"/>
      </w:pPr>
      <w:r>
        <w:rPr>
          <w:rFonts w:ascii="맑은 고딕" w:cs="맑은 고딕" w:eastAsia="맑은 고딕" w:hAnsi="맑은 고딕"/>
          <w:sz w:val="19"/>
          <w:szCs w:val="19"/>
        </w:rPr>
        <w:t xml:space="preserve">라. 공동계약의 실적 인정</w:t>
      </w:r>
    </w:p>
    <w:p>
      <w:pPr>
        <w:spacing w:after="50" w:before="0" w:line="276"/>
        <w:ind w:left="200"/>
      </w:pPr>
      <w:r>
        <w:rPr>
          <w:rFonts w:ascii="맑은 고딕" w:cs="맑은 고딕" w:eastAsia="맑은 고딕" w:hAnsi="맑은 고딕"/>
          <w:sz w:val="19"/>
          <w:szCs w:val="19"/>
        </w:rPr>
        <w:t xml:space="preserve">⑴공동수급체를 구성하여 사전심사신청한 경우 구성원 각각의 실적은 구성원의 실적(규모 및 금액)에 시공비율을 곱한 실적만 인정한다.</w:t>
      </w:r>
    </w:p>
    <w:p>
      <w:pPr>
        <w:keepNext/>
        <w:spacing w:after="60" w:before="120" w:line="276"/>
      </w:pPr>
      <w:r>
        <w:rPr>
          <w:rFonts w:ascii="맑은 고딕" w:cs="맑은 고딕" w:eastAsia="맑은 고딕" w:hAnsi="맑은 고딕"/>
          <w:b/>
          <w:bCs/>
          <w:sz w:val="20"/>
          <w:szCs w:val="20"/>
        </w:rPr>
        <w:t xml:space="preserve">■ [별표3] 3. 시공실적 심사방법 — 마. 공사의 일부분을 하도급한 경우의 실적인정</w:t>
      </w:r>
    </w:p>
    <w:p>
      <w:pPr>
        <w:spacing w:after="50" w:before="0" w:line="276"/>
        <w:ind w:left="200"/>
      </w:pPr>
      <w:r>
        <w:rPr>
          <w:rFonts w:ascii="맑은 고딕" w:cs="맑은 고딕" w:eastAsia="맑은 고딕" w:hAnsi="맑은 고딕"/>
          <w:sz w:val="19"/>
          <w:szCs w:val="19"/>
        </w:rPr>
        <w:t xml:space="preserve">마. 공사의 일부분을 하도급한 경우의 실적인정</w:t>
      </w:r>
    </w:p>
    <w:p>
      <w:pPr>
        <w:spacing w:after="50" w:before="0" w:line="276"/>
        <w:ind w:left="200"/>
      </w:pPr>
      <w:r>
        <w:rPr>
          <w:rFonts w:ascii="맑은 고딕" w:cs="맑은 고딕" w:eastAsia="맑은 고딕" w:hAnsi="맑은 고딕"/>
          <w:sz w:val="19"/>
          <w:szCs w:val="19"/>
        </w:rPr>
        <w:t xml:space="preserve">⑴종합공사를 도급받은 종합건설사업자가 다른 건설사업자에게 하도급 한 경우 하도급 부분의 실적을 원도급자의 실적에 가산하여 인정한다. 다만, 2020.12.31. 이전(민간공사는 2021.12.31. 이전) 발주한 공사로서 다른 종합건설사업자에게 하도급 한 경우 원도급자의 실적은 하도급 부분을 제외하고 인정한다. (개정 2021.5.27.)</w:t>
      </w:r>
    </w:p>
    <w:p>
      <w:pPr>
        <w:spacing w:after="50" w:before="0" w:line="276"/>
        <w:ind w:left="200"/>
      </w:pPr>
      <w:r>
        <w:rPr>
          <w:rFonts w:ascii="맑은 고딕" w:cs="맑은 고딕" w:eastAsia="맑은 고딕" w:hAnsi="맑은 고딕"/>
          <w:sz w:val="19"/>
          <w:szCs w:val="19"/>
        </w:rPr>
        <w:t xml:space="preserve">⑵(삭제 2021.5.27.)</w:t>
      </w:r>
    </w:p>
    <w:p>
      <w:pPr>
        <w:spacing w:after="50" w:before="0" w:line="276"/>
        <w:ind w:left="200"/>
      </w:pPr>
      <w:r>
        <w:rPr>
          <w:rFonts w:ascii="맑은 고딕" w:cs="맑은 고딕" w:eastAsia="맑은 고딕" w:hAnsi="맑은 고딕"/>
          <w:sz w:val="19"/>
          <w:szCs w:val="19"/>
        </w:rPr>
        <w:t xml:space="preserve">⑶종합공사를 도급받은 전문건설사업자가 다른 건설사업자에게 하도급 한 경우 하도급 부분 실적의 1/2을 원도급자의 실적에 가산하여 인정한다. (개정 2021.5.27.)</w:t>
      </w:r>
    </w:p>
    <w:p>
      <w:pPr>
        <w:spacing w:after="50" w:before="0" w:line="276"/>
        <w:ind w:left="200"/>
      </w:pPr>
      <w:r>
        <w:rPr>
          <w:rFonts w:ascii="맑은 고딕" w:cs="맑은 고딕" w:eastAsia="맑은 고딕" w:hAnsi="맑은 고딕"/>
          <w:sz w:val="19"/>
          <w:szCs w:val="19"/>
        </w:rPr>
        <w:t xml:space="preserve">(4) 전문공사를 도급받은 종합건설사업자가 다른 건설사업자에게 하도급 한 경우 하도급 부분 실적의 1/2을 원도급자의 실적에 가산하여 인정한다. (신설 2021.5.27.)</w:t>
      </w:r>
    </w:p>
    <w:p>
      <w:pPr>
        <w:spacing w:after="50" w:before="0" w:line="276"/>
        <w:ind w:left="200"/>
      </w:pPr>
      <w:r>
        <w:rPr>
          <w:rFonts w:ascii="맑은 고딕" w:cs="맑은 고딕" w:eastAsia="맑은 고딕" w:hAnsi="맑은 고딕"/>
          <w:sz w:val="19"/>
          <w:szCs w:val="19"/>
        </w:rPr>
        <w:t xml:space="preserve">(5) 전문공사를 도급받은 전문건설사업자가 다른 건설사업자에게 하도급 한 경우 하도급 부분 실적의 1/2을 원도급자의 실적에 가산하여 인정한다. (신설 2021.5.27.)</w:t>
      </w:r>
    </w:p>
    <w:p>
      <w:pPr>
        <w:spacing w:after="50" w:before="0" w:line="276"/>
        <w:ind w:left="200"/>
      </w:pPr>
      <w:r>
        <w:rPr>
          <w:rFonts w:ascii="맑은 고딕" w:cs="맑은 고딕" w:eastAsia="맑은 고딕" w:hAnsi="맑은 고딕"/>
          <w:sz w:val="19"/>
          <w:szCs w:val="19"/>
        </w:rPr>
        <w:t xml:space="preserve">(6) 하수급자의 실적은 하수급 받아 시공한 실적만 인정한다. (신설 2021.5.27.)</w:t>
      </w:r>
    </w:p>
    <w:p>
      <w:pPr>
        <w:spacing w:after="50" w:before="0" w:line="276"/>
        <w:ind w:left="200"/>
      </w:pPr>
      <w:r>
        <w:rPr>
          <w:rFonts w:ascii="맑은 고딕" w:cs="맑은 고딕" w:eastAsia="맑은 고딕" w:hAnsi="맑은 고딕"/>
          <w:sz w:val="19"/>
          <w:szCs w:val="19"/>
        </w:rPr>
        <w:t xml:space="preserve">(7) 하수급자가 다른 전문건설사업자에게 다시 하도급 하는 경우 다시 하도급한 부분의 실적의 1/2을 하수급자의 실적에 가산하여 인정한다. (신설 2021.5.27.)</w:t>
      </w:r>
    </w:p>
    <w:p>
      <w:pPr>
        <w:spacing w:after="50" w:before="0" w:line="276"/>
        <w:ind w:left="200"/>
      </w:pPr>
      <w:r>
        <w:rPr>
          <w:rFonts w:ascii="맑은 고딕" w:cs="맑은 고딕" w:eastAsia="맑은 고딕" w:hAnsi="맑은 고딕"/>
          <w:sz w:val="19"/>
          <w:szCs w:val="19"/>
        </w:rPr>
        <w:t xml:space="preserve">(8) 전기ㆍ통신ㆍ소방ㆍ국가유산공사업자가 같은 공사업자에게 하도급한 경우 하도급을 준 원도급자의 실적인정은 하도급을 제외한 부분만 실적으로 인정하며, 하수급자의 실적은 하수급하여 시공한 부분에 대하여만 실적으로 인정한다. (신설 2021.5.27.)</w:t>
      </w:r>
    </w:p>
    <w:p>
      <w:pPr>
        <w:pageBreakBefore/>
        <w:spacing w:after="20"/>
      </w:pPr>
      <w:r>
        <w:rPr>
          <w:rFonts w:ascii="맑은 고딕" w:cs="맑은 고딕" w:eastAsia="맑은 고딕" w:hAnsi="맑은 고딕"/>
          <w:b/>
          <w:bCs/>
          <w:color w:val="1F3864"/>
          <w:sz w:val="20"/>
          <w:szCs w:val="20"/>
        </w:rPr>
        <w:t xml:space="preserve">붙임 2</w:t>
      </w:r>
    </w:p>
    <w:p>
      <w:pPr>
        <w:spacing w:after="20" w:before="0" w:line="276"/>
      </w:pPr>
      <w:r>
        <w:rPr>
          <w:rFonts w:ascii="맑은 고딕" w:cs="맑은 고딕" w:eastAsia="맑은 고딕" w:hAnsi="맑은 고딕"/>
          <w:b/>
          <w:bCs/>
          <w:sz w:val="28"/>
          <w:szCs w:val="28"/>
        </w:rPr>
        <w:t xml:space="preserve">공사계약 종합심사낙찰제 세부심사기준 발췌</w:t>
      </w:r>
    </w:p>
    <w:p>
      <w:pPr>
        <w:pBdr>
          <w:bottom w:val="single" w:color="1F3864" w:sz="12" w:space="4"/>
        </w:pBdr>
        <w:spacing w:after="160" w:before="0" w:line="276"/>
      </w:pPr>
      <w:r>
        <w:rPr>
          <w:rFonts w:ascii="맑은 고딕" w:cs="맑은 고딕" w:eastAsia="맑은 고딕" w:hAnsi="맑은 고딕"/>
          <w:color w:val="595959"/>
          <w:sz w:val="17"/>
          <w:szCs w:val="17"/>
        </w:rPr>
        <w:t xml:space="preserve">국가철도공단 공사계약 종합심사낙찰제 세부심사기준 (16차 개정 2026.03.24, 시행 2026.03.30)</w:t>
      </w:r>
    </w:p>
    <w:p>
      <w:pPr>
        <w:keepNext/>
        <w:spacing w:after="60" w:before="120" w:line="276"/>
      </w:pPr>
      <w:r>
        <w:rPr>
          <w:rFonts w:ascii="맑은 고딕" w:cs="맑은 고딕" w:eastAsia="맑은 고딕" w:hAnsi="맑은 고딕"/>
          <w:b/>
          <w:bCs/>
          <w:sz w:val="20"/>
          <w:szCs w:val="20"/>
        </w:rPr>
        <w:t xml:space="preserve">■ 본문 제13조(공동수급체의 심사방법) 제1항 제1호 가목</w:t>
      </w:r>
    </w:p>
    <w:p>
      <w:pPr>
        <w:spacing w:after="50" w:before="0" w:line="276"/>
        <w:ind w:left="200"/>
      </w:pPr>
      <w:r>
        <w:rPr>
          <w:rFonts w:ascii="맑은 고딕" w:cs="맑은 고딕" w:eastAsia="맑은 고딕" w:hAnsi="맑은 고딕"/>
          <w:sz w:val="19"/>
          <w:szCs w:val="19"/>
        </w:rPr>
        <w:t xml:space="preserve">① 공동수급체를 구성하여 입찰에 참여하는 경우의 심사방법은 다음과 같다.</w:t>
      </w:r>
    </w:p>
    <w:p>
      <w:pPr>
        <w:spacing w:after="50" w:before="0" w:line="276"/>
        <w:ind w:left="200"/>
      </w:pPr>
      <w:r>
        <w:rPr>
          <w:rFonts w:ascii="맑은 고딕" w:cs="맑은 고딕" w:eastAsia="맑은 고딕" w:hAnsi="맑은 고딕"/>
          <w:sz w:val="19"/>
          <w:szCs w:val="19"/>
        </w:rPr>
        <w:t xml:space="preserve">1. 공사수행능력 분야</w:t>
      </w:r>
    </w:p>
    <w:p>
      <w:pPr>
        <w:spacing w:after="50" w:before="0" w:line="276"/>
        <w:ind w:left="200"/>
      </w:pPr>
      <w:r>
        <w:rPr>
          <w:rFonts w:ascii="맑은 고딕" w:cs="맑은 고딕" w:eastAsia="맑은 고딕" w:hAnsi="맑은 고딕"/>
          <w:sz w:val="19"/>
          <w:szCs w:val="19"/>
        </w:rPr>
        <w:t xml:space="preserve">가. 시공실적 심사</w:t>
      </w:r>
    </w:p>
    <w:p>
      <w:pPr>
        <w:spacing w:after="50" w:before="0" w:line="276"/>
        <w:ind w:left="200"/>
      </w:pPr>
      <w:r>
        <w:rPr>
          <w:rFonts w:ascii="맑은 고딕" w:cs="맑은 고딕" w:eastAsia="맑은 고딕" w:hAnsi="맑은 고딕"/>
          <w:sz w:val="19"/>
          <w:szCs w:val="19"/>
        </w:rPr>
        <w:t xml:space="preserve">1) 동일공사 시공실적 심사는 공동수급체 구성원별 각각의 시공실적을 단순 합산하여 심사한다. 다만, 간이형 공사는 공동수급체 구성원별 시공실적에 시공비율을 곱한 후 합산하여 심사한다. &lt;개정 2020.02.28&gt;</w:t>
      </w:r>
    </w:p>
    <w:p>
      <w:pPr>
        <w:keepNext/>
        <w:spacing w:after="60" w:before="120" w:line="276"/>
      </w:pPr>
      <w:r>
        <w:rPr>
          <w:rFonts w:ascii="맑은 고딕" w:cs="맑은 고딕" w:eastAsia="맑은 고딕" w:hAnsi="맑은 고딕"/>
          <w:b/>
          <w:bCs/>
          <w:sz w:val="20"/>
          <w:szCs w:val="20"/>
        </w:rPr>
        <w:t xml:space="preserve">■ [별표2] 공사수행능력 세부 심사방법 — 1. 시공실적 심사(발췌)</w:t>
      </w:r>
    </w:p>
    <w:p>
      <w:pPr>
        <w:spacing w:after="50" w:before="0" w:line="276"/>
        <w:ind w:left="200"/>
      </w:pPr>
      <w:r>
        <w:rPr>
          <w:rFonts w:ascii="맑은 고딕" w:cs="맑은 고딕" w:eastAsia="맑은 고딕" w:hAnsi="맑은 고딕"/>
          <w:sz w:val="19"/>
          <w:szCs w:val="19"/>
        </w:rPr>
        <w:t xml:space="preserve">1. 시공실적 심사</w:t>
      </w:r>
    </w:p>
    <w:p>
      <w:pPr>
        <w:spacing w:after="50" w:before="0" w:line="276"/>
        <w:ind w:left="200"/>
      </w:pPr>
      <w:r>
        <w:rPr>
          <w:rFonts w:ascii="맑은 고딕" w:cs="맑은 고딕" w:eastAsia="맑은 고딕" w:hAnsi="맑은 고딕"/>
          <w:sz w:val="19"/>
          <w:szCs w:val="19"/>
        </w:rPr>
        <w:t xml:space="preserve">가. 시공실적 심사는 입찰참가업체가 보유한 입찰공고일 기준 10년 이내 준공된 해당 발주공사와 동일한 공법, 구조형식 등의 시공실적경험을 건수, 금액, 규모 등의 기준으로 합산하여 심사한다. 다만, 우리공단이 경쟁성 확보 등을 위해 필요하다고 인정하는 경우 입찰공고일 기준 최근 20년 이내의 범위에서 준공된 시공실적을 기준으로 심사할 수 있다. &lt;개정 2025.11.20.&gt;</w:t>
      </w:r>
    </w:p>
    <w:p>
      <w:pPr>
        <w:spacing w:after="50" w:before="0" w:line="276"/>
        <w:ind w:left="200"/>
      </w:pPr>
      <w:r>
        <w:rPr>
          <w:rFonts w:ascii="맑은 고딕" w:cs="맑은 고딕" w:eastAsia="맑은 고딕" w:hAnsi="맑은 고딕"/>
          <w:sz w:val="19"/>
          <w:szCs w:val="19"/>
        </w:rPr>
        <w:t xml:space="preserve">5) 상호시장 진출 허용 공사의 경우 실적 인정 방법은 국토교통부 고시「종합・전문업종간 상호시장 진출을 위한 건설공사실적 인정기준」에 따른다. 전문건설사업자가 종합공사에 참여하는 경우 일반공사 실적으로 심사하며, 해당 종합공사를 추정금액 기준 전문업종별 구성비율로 배점을 구분하고 각 전문업종별로 평가하여 합산한다. 다만, 2021.1.1. 이후 전문건설사업자의 자격으로 취득한 종합공사 실적을 보유한 경우에는 해당 종합공사 실적을 우선 평가(종합건설사업자의 종합공사 평가방법과 동일)하고 배점한도를 충족하지 못할 경우 잔여 배점을 기준으로 본문에 따라 전문업종별 실적을 평가하여 합산한다. (신설 2021.5.27., 개정 2022.7.15.)</w:t>
      </w:r>
    </w:p>
    <w:p>
      <w:pPr>
        <w:spacing w:after="50" w:before="0" w:line="276"/>
        <w:ind w:left="200"/>
      </w:pPr>
      <w:r>
        <w:rPr>
          <w:rFonts w:ascii="맑은 고딕" w:cs="맑은 고딕" w:eastAsia="맑은 고딕" w:hAnsi="맑은 고딕"/>
          <w:sz w:val="19"/>
          <w:szCs w:val="19"/>
        </w:rPr>
        <w:t xml:space="preserve">라. 동일공사 시공실적 분류 및 인정기준은 공단 입찰참가자격 사전심사기준 [별표 1]에서 정하는 바에 따르며, 동일공사 시공실적 제출 및 평가는 공단 입찰참가자격 사전심사기준 [별표 3]에서 정하는 바에 따른다. &lt;개정 2025.11.20.&gt;</w:t>
      </w:r>
    </w:p>
    <w:p>
      <w:pPr>
        <w:keepNext/>
        <w:spacing w:after="60" w:before="120" w:line="276"/>
      </w:pPr>
      <w:r>
        <w:rPr>
          <w:rFonts w:ascii="맑은 고딕" w:cs="맑은 고딕" w:eastAsia="맑은 고딕" w:hAnsi="맑은 고딕"/>
          <w:b/>
          <w:bCs/>
          <w:sz w:val="20"/>
          <w:szCs w:val="20"/>
        </w:rPr>
        <w:t xml:space="preserve">■ [별표2] 분야별 책임자 참여경력 심사(발췌)</w:t>
      </w:r>
    </w:p>
    <w:p>
      <w:pPr>
        <w:spacing w:after="50" w:before="0" w:line="276"/>
        <w:ind w:left="200"/>
      </w:pPr>
      <w:r>
        <w:rPr>
          <w:rFonts w:ascii="맑은 고딕" w:cs="맑은 고딕" w:eastAsia="맑은 고딕" w:hAnsi="맑은 고딕"/>
          <w:sz w:val="19"/>
          <w:szCs w:val="19"/>
        </w:rPr>
        <w:t xml:space="preserve">3) 상호시장 진출 허용공사의 종합공사에 전문건설사업자가 참여한 경우 분야별 책임자 참여경력 평가 시 하도급으로 참여한 경력은 50%를 인정한다. (신설 2021.5.27.)</w:t>
      </w:r>
    </w:p>
    <w:p>
      <w:pPr>
        <w:pageBreakBefore/>
        <w:spacing w:after="20"/>
      </w:pPr>
      <w:r>
        <w:rPr>
          <w:rFonts w:ascii="맑은 고딕" w:cs="맑은 고딕" w:eastAsia="맑은 고딕" w:hAnsi="맑은 고딕"/>
          <w:b/>
          <w:bCs/>
          <w:color w:val="1F3864"/>
          <w:sz w:val="20"/>
          <w:szCs w:val="20"/>
        </w:rPr>
        <w:t xml:space="preserve">붙임 3</w:t>
      </w:r>
    </w:p>
    <w:p>
      <w:pPr>
        <w:spacing w:after="20" w:before="0" w:line="276"/>
      </w:pPr>
      <w:r>
        <w:rPr>
          <w:rFonts w:ascii="맑은 고딕" w:cs="맑은 고딕" w:eastAsia="맑은 고딕" w:hAnsi="맑은 고딕"/>
          <w:b/>
          <w:bCs/>
          <w:sz w:val="28"/>
          <w:szCs w:val="28"/>
        </w:rPr>
        <w:t xml:space="preserve">공사낙찰적격세부심사기준 발췌</w:t>
      </w:r>
    </w:p>
    <w:p>
      <w:pPr>
        <w:pBdr>
          <w:bottom w:val="single" w:color="1F3864" w:sz="12" w:space="4"/>
        </w:pBdr>
        <w:spacing w:after="160" w:before="0" w:line="276"/>
      </w:pPr>
      <w:r>
        <w:rPr>
          <w:rFonts w:ascii="맑은 고딕" w:cs="맑은 고딕" w:eastAsia="맑은 고딕" w:hAnsi="맑은 고딕"/>
          <w:color w:val="595959"/>
          <w:sz w:val="17"/>
          <w:szCs w:val="17"/>
        </w:rPr>
        <w:t xml:space="preserve">국가철도공단 공사낙찰적격세부심사기준 (21차 개정 2026.03.24, 시행 2026.03.30)</w:t>
      </w:r>
    </w:p>
    <w:p>
      <w:pPr>
        <w:keepNext/>
        <w:spacing w:after="60" w:before="120" w:line="276"/>
      </w:pPr>
      <w:r>
        <w:rPr>
          <w:rFonts w:ascii="맑은 고딕" w:cs="맑은 고딕" w:eastAsia="맑은 고딕" w:hAnsi="맑은 고딕"/>
          <w:b/>
          <w:bCs/>
          <w:sz w:val="20"/>
          <w:szCs w:val="20"/>
        </w:rPr>
        <w:t xml:space="preserve">■ 본문 제2조(평가기준) 제3항 제1호</w:t>
      </w:r>
    </w:p>
    <w:p>
      <w:pPr>
        <w:spacing w:after="50" w:before="0" w:line="276"/>
        <w:ind w:left="200"/>
      </w:pPr>
      <w:r>
        <w:rPr>
          <w:rFonts w:ascii="맑은 고딕" w:cs="맑은 고딕" w:eastAsia="맑은 고딕" w:hAnsi="맑은 고딕"/>
          <w:sz w:val="19"/>
          <w:szCs w:val="19"/>
        </w:rPr>
        <w:t xml:space="preserve">③ 시공경험, 기술능력 및 경영상태, 신인도의 평가방법은 입찰공고에서 달리 정한 경우를 제외하고는 다음 각 호와 같으나, 평가자료가 없거나 평가자료를 제출하지 않는 경우에는 해당자료를 제외하고 평가한다. 다만, 「 건설산업기본법 」에 따라 종합공사의 건설업종을 등록한 건설사업자(이하 "종합건설사업자"라 한다)와 전문공사의 건설업종을 등록한 건설사업자(이하 "전문건설사업자"라 한다)가 모두 참여하는 입찰의 시공경험, 경영상태(경영상태 심사방법 중 최근년도 부채비율 및 유동비율, 영업기간), 하도급관리계획의 적정성 심사는 제7항에 따라 평가한다. &lt;개정 2021.03.25&gt;</w:t>
      </w:r>
    </w:p>
    <w:p>
      <w:pPr>
        <w:spacing w:after="50" w:before="0" w:line="276"/>
        <w:ind w:left="200"/>
      </w:pPr>
      <w:r>
        <w:rPr>
          <w:rFonts w:ascii="맑은 고딕" w:cs="맑은 고딕" w:eastAsia="맑은 고딕" w:hAnsi="맑은 고딕"/>
          <w:sz w:val="19"/>
          <w:szCs w:val="19"/>
        </w:rPr>
        <w:t xml:space="preserve">1. 시공경험평가</w:t>
      </w:r>
    </w:p>
    <w:p>
      <w:pPr>
        <w:spacing w:after="50" w:before="0" w:line="276"/>
        <w:ind w:left="200"/>
      </w:pPr>
      <w:r>
        <w:rPr>
          <w:rFonts w:ascii="맑은 고딕" w:cs="맑은 고딕" w:eastAsia="맑은 고딕" w:hAnsi="맑은 고딕"/>
          <w:sz w:val="19"/>
          <w:szCs w:val="19"/>
        </w:rPr>
        <w:t xml:space="preserve">가. 해당공사와 동일한 종류의 공사실적 평가방법 등은 공단「 입찰참가자격 사전심사기준 」에 따른다. &lt;개정 2014.03.03, 2025.11.20&gt;</w:t>
      </w:r>
    </w:p>
    <w:p>
      <w:pPr>
        <w:spacing w:after="50" w:before="0" w:line="276"/>
        <w:ind w:left="200"/>
      </w:pPr>
      <w:r>
        <w:rPr>
          <w:rFonts w:ascii="맑은 고딕" w:cs="맑은 고딕" w:eastAsia="맑은 고딕" w:hAnsi="맑은 고딕"/>
          <w:sz w:val="19"/>
          <w:szCs w:val="19"/>
        </w:rPr>
        <w:t xml:space="preserve">나. 최근 5년간 공사실적은 대한건설협회, 대한전문건설협회, 한국전기공사협회, 한국정보통신공사협회, 대한설비건설협회 등 관련협회(이하 "관련협회"라 한다)에서 평가자료를 관리하는 업체의 경우에는 입찰공고일 현재 관련협회에 등록된 자료를 기준으로 평가한다. 최근 5년간 시공경험의 기준은 관련협회의 통계완료 최종년도를 기준으로 한다. &lt;개정 2017.04.25&gt;</w:t>
      </w:r>
    </w:p>
    <w:p>
      <w:pPr>
        <w:spacing w:after="50" w:before="0" w:line="276"/>
        <w:ind w:left="200"/>
      </w:pPr>
      <w:r>
        <w:rPr>
          <w:rFonts w:ascii="맑은 고딕" w:cs="맑은 고딕" w:eastAsia="맑은 고딕" w:hAnsi="맑은 고딕"/>
          <w:sz w:val="19"/>
          <w:szCs w:val="19"/>
        </w:rPr>
        <w:t xml:space="preserve">다. "나"호에 의해 직접 제출하는 경우 시공능력공시액은 관련협회에서 증명한 자료에 의하며, 최근 5년간 시공경험에 관한 평가자료는 관련협회에서 증명한 연도별 시공실적을 제출하여야 한다. 다만, 관련협회가 없거나 관련협회에서 평가자료를 관리하지 않는 공사업종은 입찰공고일을 기준으로 최근 5년간의 시공실적을 공단「 입찰참가자격 사전심사기준 」에 따라 평가한다. &lt;개정 2017.04.25, 2019.06.11, 2025.11.20&gt;</w:t>
      </w:r>
    </w:p>
    <w:p>
      <w:pPr>
        <w:keepNext/>
        <w:spacing w:after="60" w:before="120" w:line="276"/>
      </w:pPr>
      <w:r>
        <w:rPr>
          <w:rFonts w:ascii="맑은 고딕" w:cs="맑은 고딕" w:eastAsia="맑은 고딕" w:hAnsi="맑은 고딕"/>
          <w:b/>
          <w:bCs/>
          <w:sz w:val="20"/>
          <w:szCs w:val="20"/>
        </w:rPr>
        <w:t xml:space="preserve">■ 본문 제2조 제7항 제1호</w:t>
      </w:r>
    </w:p>
    <w:p>
      <w:pPr>
        <w:spacing w:after="50" w:before="0" w:line="276"/>
        <w:ind w:left="200"/>
      </w:pPr>
      <w:r>
        <w:rPr>
          <w:rFonts w:ascii="맑은 고딕" w:cs="맑은 고딕" w:eastAsia="맑은 고딕" w:hAnsi="맑은 고딕"/>
          <w:sz w:val="19"/>
          <w:szCs w:val="19"/>
        </w:rPr>
        <w:t xml:space="preserve">⑦ 「 건설산업기본법 」에 따라 종합건설사업자와 전문건설사업자가 모두 참여하는 입찰의 시공경험, 경영상태심사는 다음 각호와 같으며, 평가자료는 관련협회로부터 입찰자가 직접 발급받은 자료(관련협회 증명 필요)를 제출받아 평가한다. &lt;신설 2021.03.25&gt;</w:t>
      </w:r>
    </w:p>
    <w:p>
      <w:pPr>
        <w:spacing w:after="50" w:before="0" w:line="276"/>
        <w:ind w:left="200"/>
      </w:pPr>
      <w:r>
        <w:rPr>
          <w:rFonts w:ascii="맑은 고딕" w:cs="맑은 고딕" w:eastAsia="맑은 고딕" w:hAnsi="맑은 고딕"/>
          <w:sz w:val="19"/>
          <w:szCs w:val="19"/>
        </w:rPr>
        <w:t xml:space="preserve">1. 시공경험 : 국토교통부고시 「종합ㆍ전문업종간 상호시장 진출을 위한 건설공사실적 인정기준」을 기준으로 한다. &lt;신설 2021.03.25&gt;</w:t>
      </w:r>
    </w:p>
    <w:p>
      <w:pPr>
        <w:keepNext/>
        <w:spacing w:after="60" w:before="120" w:line="276"/>
      </w:pPr>
      <w:r>
        <w:rPr>
          <w:rFonts w:ascii="맑은 고딕" w:cs="맑은 고딕" w:eastAsia="맑은 고딕" w:hAnsi="맑은 고딕"/>
          <w:b/>
          <w:bCs/>
          <w:sz w:val="20"/>
          <w:szCs w:val="20"/>
        </w:rPr>
        <w:t xml:space="preserve">■ [붙임1] 시공경험평가방법(발췌)</w:t>
      </w:r>
    </w:p>
    <w:p>
      <w:pPr>
        <w:spacing w:after="50" w:before="0" w:line="276"/>
        <w:ind w:left="200"/>
      </w:pPr>
      <w:r>
        <w:rPr>
          <w:rFonts w:ascii="맑은 고딕" w:cs="맑은 고딕" w:eastAsia="맑은 고딕" w:hAnsi="맑은 고딕"/>
          <w:sz w:val="19"/>
          <w:szCs w:val="19"/>
        </w:rPr>
        <w:t xml:space="preserve">1)동일공사실적 평가는 구성원별로 공사실적에 시공비율을 곱한후 이를 합산하여 평가한다.</w:t>
      </w:r>
    </w:p>
    <w:p>
      <w:pPr>
        <w:spacing w:after="50" w:before="0" w:line="276"/>
        <w:ind w:left="200"/>
      </w:pPr>
      <w:r>
        <w:rPr>
          <w:rFonts w:ascii="맑은 고딕" w:cs="맑은 고딕" w:eastAsia="맑은 고딕" w:hAnsi="맑은 고딕"/>
          <w:sz w:val="19"/>
          <w:szCs w:val="19"/>
        </w:rPr>
        <w:t xml:space="preserve">2)심사항목의 “A”와 “B”는 택일하여 적용한다.</w:t>
      </w:r>
    </w:p>
    <w:p>
      <w:pPr>
        <w:spacing w:after="50" w:before="0" w:line="276"/>
        <w:ind w:left="200"/>
      </w:pPr>
      <w:r>
        <w:rPr>
          <w:rFonts w:ascii="맑은 고딕" w:cs="맑은 고딕" w:eastAsia="맑은 고딕" w:hAnsi="맑은 고딕"/>
          <w:sz w:val="19"/>
          <w:szCs w:val="19"/>
        </w:rPr>
        <w:t xml:space="preserve">3)실적금액은 최종 준공금액(지급자재대가 포함.  다만, 전기공사, 통신공사, 신호공사, 궤도공사 등은 제외)을 기준으로 한다.</w:t>
      </w:r>
    </w:p>
    <w:p>
      <w:pPr>
        <w:pageBreakBefore/>
        <w:spacing w:after="20"/>
      </w:pPr>
      <w:r>
        <w:rPr>
          <w:rFonts w:ascii="맑은 고딕" w:cs="맑은 고딕" w:eastAsia="맑은 고딕" w:hAnsi="맑은 고딕"/>
          <w:b/>
          <w:bCs/>
          <w:color w:val="1F3864"/>
          <w:sz w:val="20"/>
          <w:szCs w:val="20"/>
        </w:rPr>
        <w:t xml:space="preserve">붙임 4</w:t>
      </w:r>
    </w:p>
    <w:p>
      <w:pPr>
        <w:spacing w:after="20" w:before="0" w:line="276"/>
      </w:pPr>
      <w:r>
        <w:rPr>
          <w:rFonts w:ascii="맑은 고딕" w:cs="맑은 고딕" w:eastAsia="맑은 고딕" w:hAnsi="맑은 고딕"/>
          <w:b/>
          <w:bCs/>
          <w:sz w:val="28"/>
          <w:szCs w:val="28"/>
        </w:rPr>
        <w:t xml:space="preserve">전기분야 하도급계약 관리지침 발췌</w:t>
      </w:r>
    </w:p>
    <w:p>
      <w:pPr>
        <w:pBdr>
          <w:bottom w:val="single" w:color="1F3864" w:sz="12" w:space="4"/>
        </w:pBdr>
        <w:spacing w:after="160" w:before="0" w:line="276"/>
      </w:pPr>
      <w:r>
        <w:rPr>
          <w:rFonts w:ascii="맑은 고딕" w:cs="맑은 고딕" w:eastAsia="맑은 고딕" w:hAnsi="맑은 고딕"/>
          <w:color w:val="595959"/>
          <w:sz w:val="17"/>
          <w:szCs w:val="17"/>
        </w:rPr>
        <w:t xml:space="preserve">국가철도공단 전기분야 하도급계약 관리지침 (개정 2024.10.29, 시행 2024.12.02)</w:t>
      </w:r>
    </w:p>
    <w:p>
      <w:pPr>
        <w:keepNext/>
        <w:spacing w:after="60" w:before="120" w:line="276"/>
      </w:pPr>
      <w:r>
        <w:rPr>
          <w:rFonts w:ascii="맑은 고딕" w:cs="맑은 고딕" w:eastAsia="맑은 고딕" w:hAnsi="맑은 고딕"/>
          <w:b/>
          <w:bCs/>
          <w:sz w:val="20"/>
          <w:szCs w:val="20"/>
        </w:rPr>
        <w:t xml:space="preserve">■ 제6조(하도급계약의 허용기준) 제1항</w:t>
      </w:r>
    </w:p>
    <w:p>
      <w:pPr>
        <w:spacing w:after="50" w:before="0" w:line="276"/>
        <w:ind w:left="200"/>
      </w:pPr>
      <w:r>
        <w:rPr>
          <w:rFonts w:ascii="맑은 고딕" w:cs="맑은 고딕" w:eastAsia="맑은 고딕" w:hAnsi="맑은 고딕"/>
          <w:sz w:val="19"/>
          <w:szCs w:val="19"/>
        </w:rPr>
        <w:t xml:space="preserve">제6조(하도급계약의 허용기준) ① 전기공사 또는 신호공사(이하 “전기공사”라 한다)에 대한 하도급 허용기준은 다음 각 호의 모든 기준을 충족하여야 한다. &lt;개정 2011.07.22., 2022.12.16&gt;</w:t>
      </w:r>
    </w:p>
    <w:p>
      <w:pPr>
        <w:spacing w:after="50" w:before="0" w:line="276"/>
        <w:ind w:left="200"/>
      </w:pPr>
      <w:r>
        <w:rPr>
          <w:rFonts w:ascii="맑은 고딕" w:cs="맑은 고딕" w:eastAsia="맑은 고딕" w:hAnsi="맑은 고딕"/>
          <w:sz w:val="19"/>
          <w:szCs w:val="19"/>
        </w:rPr>
        <w:t xml:space="preserve">1. 하도급 불가공종(별지 제1호)이 포함되어 있지 아니할 것</w:t>
      </w:r>
    </w:p>
    <w:p>
      <w:pPr>
        <w:spacing w:after="50" w:before="0" w:line="276"/>
        <w:ind w:left="200"/>
      </w:pPr>
      <w:r>
        <w:rPr>
          <w:rFonts w:ascii="맑은 고딕" w:cs="맑은 고딕" w:eastAsia="맑은 고딕" w:hAnsi="맑은 고딕"/>
          <w:sz w:val="19"/>
          <w:szCs w:val="19"/>
        </w:rPr>
        <w:t xml:space="preserve">2. [(도급계약금액 - 하도급 계약의 총 합계금액) / 도급계약금액]이 100분의 50 이상일 것</w:t>
      </w:r>
    </w:p>
    <w:p>
      <w:pPr>
        <w:spacing w:after="50" w:before="0" w:line="276"/>
        <w:ind w:left="200"/>
      </w:pPr>
      <w:r>
        <w:rPr>
          <w:rFonts w:ascii="맑은 고딕" w:cs="맑은 고딕" w:eastAsia="맑은 고딕" w:hAnsi="맑은 고딕"/>
          <w:sz w:val="19"/>
          <w:szCs w:val="19"/>
        </w:rPr>
        <w:t xml:space="preserve">3. 하수급인을 지도·조정하기 위하여 전기공사업법 제17조에 의한 수급인의 시공관리책임자가 지정되어 있을 것</w:t>
      </w:r>
    </w:p>
    <w:p>
      <w:pPr>
        <w:spacing w:after="50" w:before="0" w:line="276"/>
        <w:ind w:left="200"/>
      </w:pPr>
      <w:r>
        <w:rPr>
          <w:rFonts w:ascii="맑은 고딕" w:cs="맑은 고딕" w:eastAsia="맑은 고딕" w:hAnsi="맑은 고딕"/>
          <w:sz w:val="19"/>
          <w:szCs w:val="19"/>
        </w:rPr>
        <w:t xml:space="preserve">4. 노무 부분을 하도급 하는 경우에는 노무비 전부를 하도급하지 아니할 것 &lt;개정 2011.07.22.&gt;</w:t>
      </w:r>
    </w:p>
    <w:p>
      <w:pPr>
        <w:keepNext/>
        <w:spacing w:after="60" w:before="120" w:line="276"/>
      </w:pPr>
      <w:r>
        <w:rPr>
          <w:rFonts w:ascii="맑은 고딕" w:cs="맑은 고딕" w:eastAsia="맑은 고딕" w:hAnsi="맑은 고딕"/>
          <w:b/>
          <w:bCs/>
          <w:sz w:val="20"/>
          <w:szCs w:val="20"/>
        </w:rPr>
        <w:t xml:space="preserve">■ 제23조의2(준공시 공사실적내역 제출)</w:t>
      </w:r>
    </w:p>
    <w:p>
      <w:pPr>
        <w:spacing w:after="50" w:before="0" w:line="276"/>
        <w:ind w:left="200"/>
      </w:pPr>
      <w:r>
        <w:rPr>
          <w:rFonts w:ascii="맑은 고딕" w:cs="맑은 고딕" w:eastAsia="맑은 고딕" w:hAnsi="맑은 고딕"/>
          <w:sz w:val="19"/>
          <w:szCs w:val="19"/>
        </w:rPr>
        <w:t xml:space="preserve">제23조의2(준공시 공사실적내역 제출) ① 수급인은 도급받은 공사를 준공하는 경우 하도급 내역을 명확히 구분할 수 있도록 업체별 공사실적 내역서를 제출하여야 한다.</w:t>
      </w:r>
    </w:p>
    <w:p>
      <w:pPr>
        <w:spacing w:after="50" w:before="0" w:line="276"/>
        <w:ind w:left="200"/>
      </w:pPr>
      <w:r>
        <w:rPr>
          <w:rFonts w:ascii="맑은 고딕" w:cs="맑은 고딕" w:eastAsia="맑은 고딕" w:hAnsi="맑은 고딕"/>
          <w:sz w:val="19"/>
          <w:szCs w:val="19"/>
        </w:rPr>
        <w:t xml:space="preserve">② 제1항에 의한 공사실적 내역서는 별지 제9호서식에 의한다.</w:t>
      </w:r>
    </w:p>
    <w:p>
      <w:pPr>
        <w:spacing w:after="50" w:before="0" w:line="276"/>
        <w:ind w:left="200"/>
      </w:pPr>
      <w:r>
        <w:rPr>
          <w:rFonts w:ascii="맑은 고딕" w:cs="맑은 고딕" w:eastAsia="맑은 고딕" w:hAnsi="맑은 고딕"/>
          <w:sz w:val="19"/>
          <w:szCs w:val="19"/>
        </w:rPr>
        <w:t xml:space="preserve">[본조신설 2011.07.22.]</w:t>
      </w:r>
    </w:p>
    <w:p>
      <w:pPr>
        <w:keepNext/>
        <w:spacing w:after="60" w:before="120" w:line="276"/>
      </w:pPr>
      <w:r>
        <w:rPr>
          <w:rFonts w:ascii="맑은 고딕" w:cs="맑은 고딕" w:eastAsia="맑은 고딕" w:hAnsi="맑은 고딕"/>
          <w:b/>
          <w:bCs/>
          <w:sz w:val="20"/>
          <w:szCs w:val="20"/>
        </w:rPr>
        <w:t xml:space="preserve">■ 제24조(실적인정기준)</w:t>
      </w:r>
    </w:p>
    <w:p>
      <w:pPr>
        <w:spacing w:after="50" w:before="0" w:line="276"/>
        <w:ind w:left="200"/>
      </w:pPr>
      <w:r>
        <w:rPr>
          <w:rFonts w:ascii="맑은 고딕" w:cs="맑은 고딕" w:eastAsia="맑은 고딕" w:hAnsi="맑은 고딕"/>
          <w:sz w:val="19"/>
          <w:szCs w:val="19"/>
        </w:rPr>
        <w:t xml:space="preserve">제24조(실적인정기준) ① 하도급계약은 수급인과 하수급인의 각각의 실적으로 인정하며, 실적 인정기준은 다음 각 호에 의한다.</w:t>
      </w:r>
    </w:p>
    <w:p>
      <w:pPr>
        <w:spacing w:after="50" w:before="0" w:line="276"/>
        <w:ind w:left="200"/>
      </w:pPr>
      <w:r>
        <w:rPr>
          <w:rFonts w:ascii="맑은 고딕" w:cs="맑은 고딕" w:eastAsia="맑은 고딕" w:hAnsi="맑은 고딕"/>
          <w:sz w:val="19"/>
          <w:szCs w:val="19"/>
        </w:rPr>
        <w:t xml:space="preserve">1. 금액의 인정기준</w:t>
      </w:r>
    </w:p>
    <w:p>
      <w:pPr>
        <w:spacing w:after="50" w:before="0" w:line="276"/>
        <w:ind w:left="200"/>
      </w:pPr>
      <w:r>
        <w:rPr>
          <w:rFonts w:ascii="맑은 고딕" w:cs="맑은 고딕" w:eastAsia="맑은 고딕" w:hAnsi="맑은 고딕"/>
          <w:sz w:val="19"/>
          <w:szCs w:val="19"/>
        </w:rPr>
        <w:t xml:space="preserve">가. 수급인의 실적금액은 도급계약금액(공동계약인 경우에는 계약금액에 해당 업체의 지분율을 곱한 금액으로 한다)에서 하도급 계약금액의 합을 차감한 금액으로 한다.</w:t>
      </w:r>
    </w:p>
    <w:p>
      <w:pPr>
        <w:spacing w:after="50" w:before="0" w:line="276"/>
        <w:ind w:left="200"/>
      </w:pPr>
      <w:r>
        <w:rPr>
          <w:rFonts w:ascii="맑은 고딕" w:cs="맑은 고딕" w:eastAsia="맑은 고딕" w:hAnsi="맑은 고딕"/>
          <w:sz w:val="19"/>
          <w:szCs w:val="19"/>
        </w:rPr>
        <w:t xml:space="preserve">나. 하수급인의 실적금액은 하도급 계약금액으로 한다.</w:t>
      </w:r>
    </w:p>
    <w:p>
      <w:pPr>
        <w:spacing w:after="50" w:before="0" w:line="276"/>
        <w:ind w:left="200"/>
      </w:pPr>
      <w:r>
        <w:rPr>
          <w:rFonts w:ascii="맑은 고딕" w:cs="맑은 고딕" w:eastAsia="맑은 고딕" w:hAnsi="맑은 고딕"/>
          <w:sz w:val="19"/>
          <w:szCs w:val="19"/>
        </w:rPr>
        <w:t xml:space="preserve">2. 공사실적의 인정기준</w:t>
      </w:r>
    </w:p>
    <w:p>
      <w:pPr>
        <w:spacing w:after="50" w:before="0" w:line="276"/>
        <w:ind w:left="200"/>
      </w:pPr>
      <w:r>
        <w:rPr>
          <w:rFonts w:ascii="맑은 고딕" w:cs="맑은 고딕" w:eastAsia="맑은 고딕" w:hAnsi="맑은 고딕"/>
          <w:sz w:val="19"/>
          <w:szCs w:val="19"/>
        </w:rPr>
        <w:t xml:space="preserve">가. 수급인의 공사실적은 해당 도급계약의 공종 및 물량 중에서 하도급계약의 공종 및 물량을 제외한 공종 및 물량만 인정한다.</w:t>
      </w:r>
    </w:p>
    <w:p>
      <w:pPr>
        <w:spacing w:after="50" w:before="0" w:line="276"/>
        <w:ind w:left="200"/>
      </w:pPr>
      <w:r>
        <w:rPr>
          <w:rFonts w:ascii="맑은 고딕" w:cs="맑은 고딕" w:eastAsia="맑은 고딕" w:hAnsi="맑은 고딕"/>
          <w:sz w:val="19"/>
          <w:szCs w:val="19"/>
        </w:rPr>
        <w:t xml:space="preserve">나. 하수급인의 공사실적은 하도급을 받고 하수급인이 직접 시공한 공종 및 물량을 인정한다.</w:t>
      </w:r>
    </w:p>
    <w:p>
      <w:pPr>
        <w:spacing w:after="50" w:before="0" w:line="276"/>
        <w:ind w:left="200"/>
      </w:pPr>
      <w:r>
        <w:rPr>
          <w:rFonts w:ascii="맑은 고딕" w:cs="맑은 고딕" w:eastAsia="맑은 고딕" w:hAnsi="맑은 고딕"/>
          <w:sz w:val="19"/>
          <w:szCs w:val="19"/>
        </w:rPr>
        <w:t xml:space="preserve">② 제1항에 따른 구체적인 실적인정기준은 별지 제8호서식에 의한다.</w:t>
      </w:r>
    </w:p>
    <w:p>
      <w:pPr>
        <w:pageBreakBefore/>
        <w:spacing w:after="20"/>
      </w:pPr>
      <w:r>
        <w:rPr>
          <w:rFonts w:ascii="맑은 고딕" w:cs="맑은 고딕" w:eastAsia="맑은 고딕" w:hAnsi="맑은 고딕"/>
          <w:b/>
          <w:bCs/>
          <w:color w:val="1F3864"/>
          <w:sz w:val="20"/>
          <w:szCs w:val="20"/>
        </w:rPr>
        <w:t xml:space="preserve">붙임 5</w:t>
      </w:r>
    </w:p>
    <w:p>
      <w:pPr>
        <w:spacing w:after="20" w:before="0" w:line="276"/>
      </w:pPr>
      <w:r>
        <w:rPr>
          <w:rFonts w:ascii="맑은 고딕" w:cs="맑은 고딕" w:eastAsia="맑은 고딕" w:hAnsi="맑은 고딕"/>
          <w:b/>
          <w:bCs/>
          <w:sz w:val="28"/>
          <w:szCs w:val="28"/>
        </w:rPr>
        <w:t xml:space="preserve">전기공사업법 및 같은 법 시행령 발췌</w:t>
      </w:r>
    </w:p>
    <w:p>
      <w:pPr>
        <w:pBdr>
          <w:bottom w:val="single" w:color="1F3864" w:sz="12" w:space="4"/>
        </w:pBdr>
        <w:spacing w:after="160" w:before="0" w:line="276"/>
      </w:pPr>
      <w:r>
        <w:rPr>
          <w:rFonts w:ascii="맑은 고딕" w:cs="맑은 고딕" w:eastAsia="맑은 고딕" w:hAnsi="맑은 고딕"/>
          <w:color w:val="595959"/>
          <w:sz w:val="17"/>
          <w:szCs w:val="17"/>
        </w:rPr>
        <w:t xml:space="preserve">전기공사업법 (시행 2026.09.18) · 전기공사업법 시행령 (시행 2026.09.18, 대통령령 제36586호)</w:t>
      </w:r>
    </w:p>
    <w:p>
      <w:pPr>
        <w:keepNext/>
        <w:spacing w:after="60" w:before="120" w:line="276"/>
      </w:pPr>
      <w:r>
        <w:rPr>
          <w:rFonts w:ascii="맑은 고딕" w:cs="맑은 고딕" w:eastAsia="맑은 고딕" w:hAnsi="맑은 고딕"/>
          <w:b/>
          <w:bCs/>
          <w:sz w:val="20"/>
          <w:szCs w:val="20"/>
        </w:rPr>
        <w:t xml:space="preserve">■ 전기공사업법 제11조(전기공사 및 시공책임형 전기공사관리의 분리발주)</w:t>
      </w:r>
    </w:p>
    <w:p>
      <w:pPr>
        <w:spacing w:after="50" w:before="0" w:line="276"/>
        <w:ind w:left="200"/>
      </w:pPr>
      <w:r>
        <w:rPr>
          <w:rFonts w:ascii="맑은 고딕" w:cs="맑은 고딕" w:eastAsia="맑은 고딕" w:hAnsi="맑은 고딕"/>
          <w:sz w:val="19"/>
          <w:szCs w:val="19"/>
        </w:rPr>
        <w:t xml:space="preserve">①전기공사는 다른 업종의 공사와 분리발주하여야 한다.   &lt;개정 2011. 7. 25., 2023. 1. 3 .&gt;</w:t>
      </w:r>
    </w:p>
    <w:p>
      <w:pPr>
        <w:spacing w:after="50" w:before="0" w:line="276"/>
        <w:ind w:left="200"/>
      </w:pPr>
      <w:r>
        <w:rPr>
          <w:rFonts w:ascii="맑은 고딕" w:cs="맑은 고딕" w:eastAsia="맑은 고딕" w:hAnsi="맑은 고딕"/>
          <w:sz w:val="19"/>
          <w:szCs w:val="19"/>
        </w:rPr>
        <w:t xml:space="preserve">② 시공책임형 전기공사관리는 「건설산업기본법」에 따른 시공책임형 건설사업관리 등 다른 업종의 공사관리와 분리발주하여야 한다.   &lt;신설 2011. 7. 25., 2023. 1. 3 .&gt;</w:t>
      </w:r>
    </w:p>
    <w:p>
      <w:pPr>
        <w:spacing w:after="50" w:before="0" w:line="276"/>
        <w:ind w:left="200"/>
      </w:pPr>
      <w:r>
        <w:rPr>
          <w:rFonts w:ascii="맑은 고딕" w:cs="맑은 고딕" w:eastAsia="맑은 고딕" w:hAnsi="맑은 고딕"/>
          <w:sz w:val="19"/>
          <w:szCs w:val="19"/>
        </w:rPr>
        <w:t xml:space="preserve">③ 다음 각 호의 어느 하나에 해당하는 공사는 제1항 또는 제2항에도 불구하고 분리발주하지 아니할 수 있다.   &lt;신설 2023. 1. 3 .&gt;</w:t>
      </w:r>
    </w:p>
    <w:p>
      <w:pPr>
        <w:spacing w:after="50" w:before="0" w:line="276"/>
        <w:ind w:left="200"/>
      </w:pPr>
      <w:r>
        <w:rPr>
          <w:rFonts w:ascii="맑은 고딕" w:cs="맑은 고딕" w:eastAsia="맑은 고딕" w:hAnsi="맑은 고딕"/>
          <w:sz w:val="19"/>
          <w:szCs w:val="19"/>
        </w:rPr>
        <w:t xml:space="preserve">1. 「재난 및 안전관리 기본법」 제3조제1호의 재난 발생에 따른 긴급복구공사</w:t>
      </w:r>
    </w:p>
    <w:p>
      <w:pPr>
        <w:spacing w:after="50" w:before="0" w:line="276"/>
        <w:ind w:left="200"/>
      </w:pPr>
      <w:r>
        <w:rPr>
          <w:rFonts w:ascii="맑은 고딕" w:cs="맑은 고딕" w:eastAsia="맑은 고딕" w:hAnsi="맑은 고딕"/>
          <w:sz w:val="19"/>
          <w:szCs w:val="19"/>
        </w:rPr>
        <w:t xml:space="preserve">2. 국방 및 국가안보 등과 관련하여 기밀을 유지하여야 하는 공사</w:t>
      </w:r>
    </w:p>
    <w:p>
      <w:pPr>
        <w:spacing w:after="50" w:before="0" w:line="276"/>
        <w:ind w:left="200"/>
      </w:pPr>
      <w:r>
        <w:rPr>
          <w:rFonts w:ascii="맑은 고딕" w:cs="맑은 고딕" w:eastAsia="맑은 고딕" w:hAnsi="맑은 고딕"/>
          <w:sz w:val="19"/>
          <w:szCs w:val="19"/>
        </w:rPr>
        <w:t xml:space="preserve">3. 공사의 성질상 또는 기술관리상 분리하여 발주하는 것이 곤란한 경우로서 대통령령으로 정하는 공사</w:t>
      </w:r>
    </w:p>
    <w:p>
      <w:pPr>
        <w:spacing w:after="50" w:before="0" w:line="276"/>
        <w:ind w:left="200"/>
      </w:pPr>
      <w:r>
        <w:rPr>
          <w:rFonts w:ascii="맑은 고딕" w:cs="맑은 고딕" w:eastAsia="맑은 고딕" w:hAnsi="맑은 고딕"/>
          <w:sz w:val="19"/>
          <w:szCs w:val="19"/>
        </w:rPr>
        <w:t xml:space="preserve">[전문개정 2008. 12. 26.][제목개정 2011. 7. 25.]</w:t>
      </w:r>
    </w:p>
    <w:p>
      <w:pPr>
        <w:keepNext/>
        <w:spacing w:after="60" w:before="120" w:line="276"/>
      </w:pPr>
      <w:r>
        <w:rPr>
          <w:rFonts w:ascii="맑은 고딕" w:cs="맑은 고딕" w:eastAsia="맑은 고딕" w:hAnsi="맑은 고딕"/>
          <w:b/>
          <w:bCs/>
          <w:sz w:val="20"/>
          <w:szCs w:val="20"/>
        </w:rPr>
        <w:t xml:space="preserve">■ 전기공사업법 제14조(하도급의 제한 등)</w:t>
      </w:r>
    </w:p>
    <w:p>
      <w:pPr>
        <w:spacing w:after="50" w:before="0" w:line="276"/>
        <w:ind w:left="200"/>
      </w:pPr>
      <w:r>
        <w:rPr>
          <w:rFonts w:ascii="맑은 고딕" w:cs="맑은 고딕" w:eastAsia="맑은 고딕" w:hAnsi="맑은 고딕"/>
          <w:sz w:val="19"/>
          <w:szCs w:val="19"/>
        </w:rPr>
        <w:t xml:space="preserve">① 공사업자는 도급받은 전기공사를 다른 자에게 하도급 주어서는 아니 된다. 다만, 대통령령으로 정하는 경우에는 도급받은 전기공사의 일부를 다른 공사업자에게 하도급 줄 수 있다.   &lt;개정 2021. 4. 20 .&gt;</w:t>
      </w:r>
    </w:p>
    <w:p>
      <w:pPr>
        <w:spacing w:after="50" w:before="0" w:line="276"/>
        <w:ind w:left="200"/>
      </w:pPr>
      <w:r>
        <w:rPr>
          <w:rFonts w:ascii="맑은 고딕" w:cs="맑은 고딕" w:eastAsia="맑은 고딕" w:hAnsi="맑은 고딕"/>
          <w:sz w:val="19"/>
          <w:szCs w:val="19"/>
        </w:rPr>
        <w:t xml:space="preserve">② 하수급인은 하도급받은 전기공사를 다른 자에게 다시 하도급 주어서는 아니 된다. 다만, 하도급받은 전기공사 중에 전기기자재의 설치 부분이 포함되는 경우로서 그 전기기자재를 납품하는 공사업자가 그 전기기자재를 설치하기 위하여 전기공사를 하는 경우에는 하도급 줄 수 있다.   &lt;개정 2021. 4. 20 .&gt;</w:t>
      </w:r>
    </w:p>
    <w:p>
      <w:pPr>
        <w:spacing w:after="50" w:before="0" w:line="276"/>
        <w:ind w:left="200"/>
      </w:pPr>
      <w:r>
        <w:rPr>
          <w:rFonts w:ascii="맑은 고딕" w:cs="맑은 고딕" w:eastAsia="맑은 고딕" w:hAnsi="맑은 고딕"/>
          <w:sz w:val="19"/>
          <w:szCs w:val="19"/>
        </w:rPr>
        <w:t xml:space="preserve">③ 공사업자는 제1항 단서에 따라 전기공사를 하도급 주려면 미리 해당 전기공사의 발주자에게 이를 서면으로 알려야 한다.</w:t>
      </w:r>
    </w:p>
    <w:p>
      <w:pPr>
        <w:spacing w:after="50" w:before="0" w:line="276"/>
        <w:ind w:left="200"/>
      </w:pPr>
      <w:r>
        <w:rPr>
          <w:rFonts w:ascii="맑은 고딕" w:cs="맑은 고딕" w:eastAsia="맑은 고딕" w:hAnsi="맑은 고딕"/>
          <w:sz w:val="19"/>
          <w:szCs w:val="19"/>
        </w:rPr>
        <w:t xml:space="preserve">④ 하수급인은 제2항 단서에 따라 전기공사를 다시 하도급 주려면 미리 해당 전기공사의 발주자 및 수급인에게 이를 서면으로 알려야 한다.</w:t>
      </w:r>
    </w:p>
    <w:p>
      <w:pPr>
        <w:spacing w:after="50" w:before="0" w:line="276"/>
        <w:ind w:left="200"/>
      </w:pPr>
      <w:r>
        <w:rPr>
          <w:rFonts w:ascii="맑은 고딕" w:cs="맑은 고딕" w:eastAsia="맑은 고딕" w:hAnsi="맑은 고딕"/>
          <w:sz w:val="19"/>
          <w:szCs w:val="19"/>
        </w:rPr>
        <w:t xml:space="preserve">[전문개정 2008. 12. 26.]</w:t>
      </w:r>
    </w:p>
    <w:p>
      <w:pPr>
        <w:keepNext/>
        <w:spacing w:after="60" w:before="120" w:line="276"/>
      </w:pPr>
      <w:r>
        <w:rPr>
          <w:rFonts w:ascii="맑은 고딕" w:cs="맑은 고딕" w:eastAsia="맑은 고딕" w:hAnsi="맑은 고딕"/>
          <w:b/>
          <w:bCs/>
          <w:sz w:val="20"/>
          <w:szCs w:val="20"/>
        </w:rPr>
        <w:t xml:space="preserve">■ 전기공사업법 제31조(공사업 관련 정보의 종합관리 등) 제3항·제4항</w:t>
      </w:r>
    </w:p>
    <w:p>
      <w:pPr>
        <w:spacing w:after="50" w:before="0" w:line="276"/>
        <w:ind w:left="200"/>
      </w:pPr>
      <w:r>
        <w:rPr>
          <w:rFonts w:ascii="맑은 고딕" w:cs="맑은 고딕" w:eastAsia="맑은 고딕" w:hAnsi="맑은 고딕"/>
          <w:sz w:val="19"/>
          <w:szCs w:val="19"/>
        </w:rPr>
        <w:t xml:space="preserve">③ 기후에너지환경부장관은 발주자가 적절한 공사업자를 선정할 수 있도록 하기 위하여 공사업자의 신청이 있는 경우 그 공사업자의 전기공사실적, 자본금, 기술능력 및 신인도 등에 따라 시공능력을 평가하여 공시(公示)하여야 한다.   &lt;개정 2013. 3. 23., 2025. 10. 1 .&gt;</w:t>
      </w:r>
    </w:p>
    <w:p>
      <w:pPr>
        <w:spacing w:after="50" w:before="0" w:line="276"/>
        <w:ind w:left="200"/>
      </w:pPr>
      <w:r>
        <w:rPr>
          <w:rFonts w:ascii="맑은 고딕" w:cs="맑은 고딕" w:eastAsia="맑은 고딕" w:hAnsi="맑은 고딕"/>
          <w:sz w:val="19"/>
          <w:szCs w:val="19"/>
        </w:rPr>
        <w:t xml:space="preserve">④ 제3항에 따른 시공능력의 평가 및 공시를 받으려는 공사업자는 해마다 전년도 전기공사실적, 자본금, 그 밖에 기후에너지환경부령으로 정하는 사항을 기후에너지환경부장관에게 신고하여야 한다.   &lt;개정 2013. 3. 23., 2025. 10. 1 .&gt;</w:t>
      </w:r>
    </w:p>
    <w:p>
      <w:pPr>
        <w:keepNext/>
        <w:spacing w:after="60" w:before="120" w:line="276"/>
      </w:pPr>
      <w:r>
        <w:rPr>
          <w:rFonts w:ascii="맑은 고딕" w:cs="맑은 고딕" w:eastAsia="맑은 고딕" w:hAnsi="맑은 고딕"/>
          <w:b/>
          <w:bCs/>
          <w:sz w:val="20"/>
          <w:szCs w:val="20"/>
        </w:rPr>
        <w:t xml:space="preserve">■ 전기공사업법 시행령 제10조(하도급의 범위)</w:t>
      </w:r>
    </w:p>
    <w:p>
      <w:pPr>
        <w:spacing w:after="50" w:before="0" w:line="276"/>
        <w:ind w:left="200"/>
      </w:pPr>
      <w:r>
        <w:rPr>
          <w:rFonts w:ascii="맑은 고딕" w:cs="맑은 고딕" w:eastAsia="맑은 고딕" w:hAnsi="맑은 고딕"/>
          <w:sz w:val="19"/>
          <w:szCs w:val="19"/>
        </w:rPr>
        <w:t xml:space="preserve">법 제14조제1항 단서에 따라 도급받은 전기공사의 일부를 다른 공사업자에게 하도급 줄 수 있는 경우는 다음 각 호 모두에 해당하는 경우로 한다.</w:t>
      </w:r>
    </w:p>
    <w:p>
      <w:pPr>
        <w:spacing w:after="50" w:before="0" w:line="276"/>
        <w:ind w:left="200"/>
      </w:pPr>
      <w:r>
        <w:rPr>
          <w:rFonts w:ascii="맑은 고딕" w:cs="맑은 고딕" w:eastAsia="맑은 고딕" w:hAnsi="맑은 고딕"/>
          <w:sz w:val="19"/>
          <w:szCs w:val="19"/>
        </w:rPr>
        <w:t xml:space="preserve">1. 도급받은 전기공사 중 공정별로 분리하여 시공하여도 전체 전기공사의 완성에 지장을 주지 아니하는 부분을 하도급하는 경우</w:t>
      </w:r>
    </w:p>
    <w:p>
      <w:pPr>
        <w:spacing w:after="50" w:before="0" w:line="276"/>
        <w:ind w:left="200"/>
      </w:pPr>
      <w:r>
        <w:rPr>
          <w:rFonts w:ascii="맑은 고딕" w:cs="맑은 고딕" w:eastAsia="맑은 고딕" w:hAnsi="맑은 고딕"/>
          <w:sz w:val="19"/>
          <w:szCs w:val="19"/>
        </w:rPr>
        <w:t xml:space="preserve">2. 수급인(受給人)이 법 제17조에 따른 시공관리책임자를 지정하여 하수급인을 지도ㆍ조정하는 경우</w:t>
      </w:r>
    </w:p>
    <w:p>
      <w:pPr>
        <w:spacing w:after="50" w:before="0" w:line="276"/>
        <w:ind w:left="200"/>
      </w:pPr>
      <w:r>
        <w:rPr>
          <w:rFonts w:ascii="맑은 고딕" w:cs="맑은 고딕" w:eastAsia="맑은 고딕" w:hAnsi="맑은 고딕"/>
          <w:sz w:val="19"/>
          <w:szCs w:val="19"/>
        </w:rPr>
        <w:t xml:space="preserve">[전문개정 2010. 6. 18.]</w:t>
      </w:r>
    </w:p>
    <w:p>
      <w:pPr>
        <w:pageBreakBefore/>
        <w:spacing w:after="20"/>
      </w:pPr>
      <w:r>
        <w:rPr>
          <w:rFonts w:ascii="맑은 고딕" w:cs="맑은 고딕" w:eastAsia="맑은 고딕" w:hAnsi="맑은 고딕"/>
          <w:b/>
          <w:bCs/>
          <w:color w:val="1F3864"/>
          <w:sz w:val="20"/>
          <w:szCs w:val="20"/>
        </w:rPr>
        <w:t xml:space="preserve">붙임 6</w:t>
      </w:r>
    </w:p>
    <w:p>
      <w:pPr>
        <w:spacing w:after="20" w:before="0" w:line="276"/>
      </w:pPr>
      <w:r>
        <w:rPr>
          <w:rFonts w:ascii="맑은 고딕" w:cs="맑은 고딕" w:eastAsia="맑은 고딕" w:hAnsi="맑은 고딕"/>
          <w:b/>
          <w:bCs/>
          <w:sz w:val="28"/>
          <w:szCs w:val="28"/>
        </w:rPr>
        <w:t xml:space="preserve">건설산업기본법 시행규칙 발췌</w:t>
      </w:r>
    </w:p>
    <w:p>
      <w:pPr>
        <w:pBdr>
          <w:bottom w:val="single" w:color="1F3864" w:sz="12" w:space="4"/>
        </w:pBdr>
        <w:spacing w:after="160" w:before="0" w:line="276"/>
      </w:pPr>
      <w:r>
        <w:rPr>
          <w:rFonts w:ascii="맑은 고딕" w:cs="맑은 고딕" w:eastAsia="맑은 고딕" w:hAnsi="맑은 고딕"/>
          <w:color w:val="595959"/>
          <w:sz w:val="17"/>
          <w:szCs w:val="17"/>
        </w:rPr>
        <w:t xml:space="preserve">건설산업기본법 시행규칙 (시행 2026.01.02, 국토교통부령 제1553호)</w:t>
      </w:r>
    </w:p>
    <w:p>
      <w:pPr>
        <w:keepNext/>
        <w:spacing w:after="60" w:before="120" w:line="276"/>
      </w:pPr>
      <w:r>
        <w:rPr>
          <w:rFonts w:ascii="맑은 고딕" w:cs="맑은 고딕" w:eastAsia="맑은 고딕" w:hAnsi="맑은 고딕"/>
          <w:b/>
          <w:bCs/>
          <w:sz w:val="20"/>
          <w:szCs w:val="20"/>
        </w:rPr>
        <w:t xml:space="preserve">■ 제23조(시공능력의 평가방법) 제10항</w:t>
      </w:r>
    </w:p>
    <w:p>
      <w:pPr>
        <w:spacing w:after="50" w:before="0" w:line="276"/>
        <w:ind w:left="200"/>
      </w:pPr>
      <w:r>
        <w:rPr>
          <w:rFonts w:ascii="맑은 고딕" w:cs="맑은 고딕" w:eastAsia="맑은 고딕" w:hAnsi="맑은 고딕"/>
          <w:sz w:val="19"/>
          <w:szCs w:val="19"/>
        </w:rPr>
        <w:t xml:space="preserve">⑩건설사업자가 다음 각 호의 어느 하나에 해당하는 방법으로 건설공사를 수행한 경우에는 해당 부분의 건설공사실적에 해당하는 금액(제4호의2, 제6호의2부터 제6호의4까지, 제7호 및 제8호의 경우에는 그 건설공사실적의 2분의 1에 해당하는 금액으로 한다)을 해당 건설사업자의 실적에 합산한다.   &lt;개정 2002. 9. 18., 2007. 12. 31., 2011. 11. 3., 2014. 12. 31., 2016. 6. 13., 2020. 3. 2., 2020. 10. 7 .&gt;</w:t>
      </w:r>
    </w:p>
    <w:p>
      <w:pPr>
        <w:spacing w:after="50" w:before="0" w:line="276"/>
        <w:ind w:left="200"/>
      </w:pPr>
      <w:r>
        <w:rPr>
          <w:rFonts w:ascii="맑은 고딕" w:cs="맑은 고딕" w:eastAsia="맑은 고딕" w:hAnsi="맑은 고딕"/>
          <w:sz w:val="19"/>
          <w:szCs w:val="19"/>
        </w:rPr>
        <w:t xml:space="preserve">1. 종합공사를 도급받은 수급인(종합공사를 시공하는 업종을 등록한 건설사업자로 한정한다)이 해당 건설공사를 시공할 수 있는 자격을 보유한 건설사업자에게 하도급한 경우</w:t>
      </w:r>
    </w:p>
    <w:p>
      <w:pPr>
        <w:spacing w:after="50" w:before="0" w:line="276"/>
        <w:ind w:left="200"/>
      </w:pPr>
      <w:r>
        <w:rPr>
          <w:rFonts w:ascii="맑은 고딕" w:cs="맑은 고딕" w:eastAsia="맑은 고딕" w:hAnsi="맑은 고딕"/>
          <w:sz w:val="19"/>
          <w:szCs w:val="19"/>
        </w:rPr>
        <w:t xml:space="preserve">2. 법 제16조제1항 단서 및 각 호에 따라 해당 건설공사를 시공할 수 있는 자격을 보유한 건설사업자가 해당 건설공사를 시공할 수 있는 업종으로 시공한 경우(제4호 및 제4호의2에 해당하는 경우는 제외한다)</w:t>
      </w:r>
    </w:p>
    <w:p>
      <w:pPr>
        <w:spacing w:after="50" w:before="0" w:line="276"/>
        <w:ind w:left="200"/>
      </w:pPr>
      <w:r>
        <w:rPr>
          <w:rFonts w:ascii="맑은 고딕" w:cs="맑은 고딕" w:eastAsia="맑은 고딕" w:hAnsi="맑은 고딕"/>
          <w:sz w:val="19"/>
          <w:szCs w:val="19"/>
        </w:rPr>
        <w:t xml:space="preserve">3. 삭제   &lt;2007. 12. 31 .&gt;</w:t>
      </w:r>
    </w:p>
    <w:p>
      <w:pPr>
        <w:spacing w:after="50" w:before="0" w:line="276"/>
        <w:ind w:left="200"/>
      </w:pPr>
      <w:r>
        <w:rPr>
          <w:rFonts w:ascii="맑은 고딕" w:cs="맑은 고딕" w:eastAsia="맑은 고딕" w:hAnsi="맑은 고딕"/>
          <w:sz w:val="19"/>
          <w:szCs w:val="19"/>
        </w:rPr>
        <w:t xml:space="preserve">4. 건설공사를 공동으로 도급받은 경우 법 제16조제1항제2호에 따라 종합공사를 시공하는 업종을 등록한 건설사업자가 주계약자로서 다른 전문공사를 시공할 수 있는 자격을 보유한 건설사업자가 분담하여 시공하는 공사를 계획ㆍ관리 및 조정한 경우</w:t>
      </w:r>
    </w:p>
    <w:p>
      <w:pPr>
        <w:spacing w:after="50" w:before="0" w:line="276"/>
        <w:ind w:left="200"/>
      </w:pPr>
      <w:r>
        <w:rPr>
          <w:rFonts w:ascii="맑은 고딕" w:cs="맑은 고딕" w:eastAsia="맑은 고딕" w:hAnsi="맑은 고딕"/>
          <w:sz w:val="19"/>
          <w:szCs w:val="19"/>
        </w:rPr>
        <w:t xml:space="preserve">4의2. 건설공사를 공동으로 도급받은 경우 법 제16조제1항제2호에 따라 전문공사를 시공하는 업종을 등록한 건설사업자가 주계약자로서 다른 전문공사를 시공할 수 있는 자격을 보유한 건설사업자가 분담하여 시공하는 공사를 계획ㆍ관리 및 조정한 경우</w:t>
      </w:r>
    </w:p>
    <w:p>
      <w:pPr>
        <w:spacing w:after="50" w:before="0" w:line="276"/>
        <w:ind w:left="200"/>
      </w:pPr>
      <w:r>
        <w:rPr>
          <w:rFonts w:ascii="맑은 고딕" w:cs="맑은 고딕" w:eastAsia="맑은 고딕" w:hAnsi="맑은 고딕"/>
          <w:sz w:val="19"/>
          <w:szCs w:val="19"/>
        </w:rPr>
        <w:t xml:space="preserve">5. 법 제26조제1항에 따라 해당 건설업에 속한 건설공사에 관한 건설사업관리업무를 위탁받아 수행한 경우</w:t>
      </w:r>
    </w:p>
    <w:p>
      <w:pPr>
        <w:spacing w:after="50" w:before="0" w:line="276"/>
        <w:ind w:left="200"/>
      </w:pPr>
      <w:r>
        <w:rPr>
          <w:rFonts w:ascii="맑은 고딕" w:cs="맑은 고딕" w:eastAsia="맑은 고딕" w:hAnsi="맑은 고딕"/>
          <w:sz w:val="19"/>
          <w:szCs w:val="19"/>
        </w:rPr>
        <w:t xml:space="preserve">6. 삭제   &lt;2011. 11. 3 .&gt;</w:t>
      </w:r>
    </w:p>
    <w:p>
      <w:pPr>
        <w:spacing w:after="50" w:before="0" w:line="276"/>
        <w:ind w:left="200"/>
      </w:pPr>
      <w:r>
        <w:rPr>
          <w:rFonts w:ascii="맑은 고딕" w:cs="맑은 고딕" w:eastAsia="맑은 고딕" w:hAnsi="맑은 고딕"/>
          <w:sz w:val="19"/>
          <w:szCs w:val="19"/>
        </w:rPr>
        <w:t xml:space="preserve">6의2. 법 제29조제2항 단서에 따라 전문공사를 도급받은 수급인이 해당 전문공사를 시공할 수 있는 자격을 보유한 건설사업자에게 하도급한 경우</w:t>
      </w:r>
    </w:p>
    <w:p>
      <w:pPr>
        <w:spacing w:after="50" w:before="0" w:line="276"/>
        <w:ind w:left="200"/>
      </w:pPr>
      <w:r>
        <w:rPr>
          <w:rFonts w:ascii="맑은 고딕" w:cs="맑은 고딕" w:eastAsia="맑은 고딕" w:hAnsi="맑은 고딕"/>
          <w:sz w:val="19"/>
          <w:szCs w:val="19"/>
        </w:rPr>
        <w:t xml:space="preserve">6의3. 법 제29조제3항제1호 및 제2호에 따라 하수급인이 전문공사를 시공하는 업종을 등록한 건설사업자에게 다시 하도급한 경우</w:t>
      </w:r>
    </w:p>
    <w:p>
      <w:pPr>
        <w:spacing w:after="50" w:before="0" w:line="276"/>
        <w:ind w:left="200"/>
      </w:pPr>
      <w:r>
        <w:rPr>
          <w:rFonts w:ascii="맑은 고딕" w:cs="맑은 고딕" w:eastAsia="맑은 고딕" w:hAnsi="맑은 고딕"/>
          <w:sz w:val="19"/>
          <w:szCs w:val="19"/>
        </w:rPr>
        <w:t xml:space="preserve">6의4. 법 제29조제5항 단서에 따라 전문공사를 시공하는 업종을 등록한 건설사업자가 종합공사를 도급받아 해당 건설공사를 시공할 수 있는 자격을 보유한 건설사업자에게 하도급한 경우</w:t>
      </w:r>
    </w:p>
    <w:p>
      <w:pPr>
        <w:spacing w:after="50" w:before="0" w:line="276"/>
        <w:ind w:left="200"/>
      </w:pPr>
      <w:r>
        <w:rPr>
          <w:rFonts w:ascii="맑은 고딕" w:cs="맑은 고딕" w:eastAsia="맑은 고딕" w:hAnsi="맑은 고딕"/>
          <w:sz w:val="19"/>
          <w:szCs w:val="19"/>
        </w:rPr>
        <w:t xml:space="preserve">7. 건설공사를 공동으로 도급받은 경우의 종합공사를 시공할 수 있는 자격을 보유한 건설사업자가 주계약자로서 다른 종합공사를 시공할 수 있는 자격을 보유한 건설사업자가 분담하여 시공하는 공사를 계획ㆍ관리 및 조정한 경우</w:t>
      </w:r>
    </w:p>
    <w:p>
      <w:pPr>
        <w:spacing w:after="50" w:before="0" w:line="276"/>
        <w:ind w:left="200"/>
      </w:pPr>
      <w:r>
        <w:rPr>
          <w:rFonts w:ascii="맑은 고딕" w:cs="맑은 고딕" w:eastAsia="맑은 고딕" w:hAnsi="맑은 고딕"/>
          <w:sz w:val="19"/>
          <w:szCs w:val="19"/>
        </w:rPr>
        <w:t xml:space="preserve">8. 국가, 지방자치단체 및 영 제26조의3에 따른 공공기관이 발주한 공사로서 수급인이 해당 발주자가 구입한 자재를 공급받아 설치한 경우</w:t>
      </w:r>
    </w:p>
    <w:p>
      <w:pPr>
        <w:keepNext/>
        <w:spacing w:after="60" w:before="120" w:line="276"/>
      </w:pPr>
      <w:r>
        <w:rPr>
          <w:rFonts w:ascii="맑은 고딕" w:cs="맑은 고딕" w:eastAsia="맑은 고딕" w:hAnsi="맑은 고딕"/>
          <w:b/>
          <w:bCs/>
          <w:sz w:val="20"/>
          <w:szCs w:val="20"/>
        </w:rPr>
        <w:t xml:space="preserve">■ 부칙 &lt;국토교통부령 제765호, 2020. 10. 7.&gt; 제1조(시행일) 발췌</w:t>
      </w:r>
    </w:p>
    <w:p>
      <w:pPr>
        <w:spacing w:after="50" w:before="0" w:line="276"/>
        <w:ind w:left="200"/>
      </w:pPr>
      <w:r>
        <w:rPr>
          <w:rFonts w:ascii="맑은 고딕" w:cs="맑은 고딕" w:eastAsia="맑은 고딕" w:hAnsi="맑은 고딕"/>
          <w:sz w:val="19"/>
          <w:szCs w:val="19"/>
        </w:rPr>
        <w:t xml:space="preserve">제1조(시행일) 이 규칙은 2020년 10월 8일부터 시행한다. 다만, 다음 각 호의 개정규정은 각 호의 구분에 따른 날부터 시행한다. &lt;개정 2025. 6. 2.&gt;</w:t>
      </w:r>
    </w:p>
    <w:p>
      <w:pPr>
        <w:spacing w:after="50" w:before="0" w:line="276"/>
        <w:ind w:left="200"/>
      </w:pPr>
      <w:r>
        <w:rPr>
          <w:rFonts w:ascii="맑은 고딕" w:cs="맑은 고딕" w:eastAsia="맑은 고딕" w:hAnsi="맑은 고딕"/>
          <w:sz w:val="19"/>
          <w:szCs w:val="19"/>
        </w:rPr>
        <w:t xml:space="preserve">2. 제13조의2, 제13조의3, 제13조의4, 제23조제10항, 제25조의7제1호바목, 제29조제2항의 개정규정: 다음 각 목의 구분에 따른 날</w:t>
      </w:r>
    </w:p>
    <w:p>
      <w:pPr>
        <w:spacing w:after="50" w:before="0" w:line="276"/>
        <w:ind w:left="200"/>
      </w:pPr>
      <w:r>
        <w:rPr>
          <w:rFonts w:ascii="맑은 고딕" w:cs="맑은 고딕" w:eastAsia="맑은 고딕" w:hAnsi="맑은 고딕"/>
          <w:sz w:val="19"/>
          <w:szCs w:val="19"/>
        </w:rPr>
        <w:t xml:space="preserve">가. 국가, 지방자치단체 또는 대통령령 제30423호 건설산업기본법 시행령 일부개정령 부칙 제2조에 따른 공공기관이 발주하는 공사: 2021년 1월 1일</w:t>
      </w:r>
    </w:p>
    <w:p>
      <w:pPr>
        <w:spacing w:after="50" w:before="0" w:line="276"/>
        <w:ind w:left="200"/>
      </w:pPr>
      <w:r>
        <w:rPr>
          <w:rFonts w:ascii="맑은 고딕" w:cs="맑은 고딕" w:eastAsia="맑은 고딕" w:hAnsi="맑은 고딕"/>
          <w:sz w:val="19"/>
          <w:szCs w:val="19"/>
        </w:rPr>
        <w:t xml:space="preserve">나. 가목 외의 자가 발주하는 공사: 2022년 1월 1일</w:t>
      </w:r>
    </w:p>
    <w:p>
      <w:pPr>
        <w:pageBreakBefore/>
        <w:spacing w:after="20"/>
      </w:pPr>
      <w:r>
        <w:rPr>
          <w:rFonts w:ascii="맑은 고딕" w:cs="맑은 고딕" w:eastAsia="맑은 고딕" w:hAnsi="맑은 고딕"/>
          <w:b/>
          <w:bCs/>
          <w:color w:val="1F3864"/>
          <w:sz w:val="20"/>
          <w:szCs w:val="20"/>
        </w:rPr>
        <w:t xml:space="preserve">붙임 7</w:t>
      </w:r>
    </w:p>
    <w:p>
      <w:pPr>
        <w:spacing w:after="20" w:before="0" w:line="276"/>
      </w:pPr>
      <w:r>
        <w:rPr>
          <w:rFonts w:ascii="맑은 고딕" w:cs="맑은 고딕" w:eastAsia="맑은 고딕" w:hAnsi="맑은 고딕"/>
          <w:b/>
          <w:bCs/>
          <w:sz w:val="28"/>
          <w:szCs w:val="28"/>
        </w:rPr>
        <w:t xml:space="preserve">전기공사업법 시행규칙 [별표 2] 발췌</w:t>
      </w:r>
    </w:p>
    <w:p>
      <w:pPr>
        <w:pBdr>
          <w:bottom w:val="single" w:color="1F3864" w:sz="12" w:space="4"/>
        </w:pBdr>
        <w:spacing w:after="160" w:before="0" w:line="276"/>
      </w:pPr>
      <w:r>
        <w:rPr>
          <w:rFonts w:ascii="맑은 고딕" w:cs="맑은 고딕" w:eastAsia="맑은 고딕" w:hAnsi="맑은 고딕"/>
          <w:color w:val="595959"/>
          <w:sz w:val="17"/>
          <w:szCs w:val="17"/>
        </w:rPr>
        <w:t xml:space="preserve">전기공사업법 시행규칙 [별표 2] 시공능력의 평가방법 (2012.9.14. 개정본, 국가법령정보센터 게시 파일 기준 — 현행본 대조 필요)</w:t>
      </w:r>
    </w:p>
    <w:p>
      <w:pPr>
        <w:keepNext/>
        <w:spacing w:after="60" w:before="120" w:line="276"/>
      </w:pPr>
      <w:r>
        <w:rPr>
          <w:rFonts w:ascii="맑은 고딕" w:cs="맑은 고딕" w:eastAsia="맑은 고딕" w:hAnsi="맑은 고딕"/>
          <w:b/>
          <w:bCs/>
          <w:sz w:val="20"/>
          <w:szCs w:val="20"/>
        </w:rPr>
        <w:t xml:space="preserve">■ [별표 2] 시공능력의 평가방법 — 가. 공사실적평가액</w:t>
      </w:r>
    </w:p>
    <w:p>
      <w:pPr>
        <w:spacing w:after="50" w:before="0" w:line="276"/>
        <w:ind w:left="200"/>
      </w:pPr>
      <w:r>
        <w:rPr>
          <w:rFonts w:ascii="맑은 고딕" w:cs="맑은 고딕" w:eastAsia="맑은 고딕" w:hAnsi="맑은 고딕"/>
          <w:sz w:val="19"/>
          <w:szCs w:val="19"/>
        </w:rPr>
        <w:t xml:space="preserve">시공능력평가액=공사실적평가액+경영평가액+기술능력평가액±신인도평가액</w:t>
      </w:r>
    </w:p>
    <w:p>
      <w:pPr>
        <w:spacing w:after="50" w:before="0" w:line="276"/>
        <w:ind w:left="200"/>
      </w:pPr>
      <w:r>
        <w:rPr>
          <w:rFonts w:ascii="맑은 고딕" w:cs="맑은 고딕" w:eastAsia="맑은 고딕" w:hAnsi="맑은 고딕"/>
          <w:sz w:val="19"/>
          <w:szCs w:val="19"/>
        </w:rPr>
        <w:t xml:space="preserve">가. 공사실적평가액은 다음 계산식에 따라 산정한다.</w:t>
      </w:r>
    </w:p>
    <w:p>
      <w:pPr>
        <w:spacing w:after="50" w:before="0" w:line="276"/>
        <w:ind w:left="200"/>
      </w:pPr>
      <w:r>
        <w:rPr>
          <w:rFonts w:ascii="맑은 고딕" w:cs="맑은 고딕" w:eastAsia="맑은 고딕" w:hAnsi="맑은 고딕"/>
          <w:sz w:val="19"/>
          <w:szCs w:val="19"/>
        </w:rPr>
        <w:t xml:space="preserve">공사실적평가액=연평균공사실적액</w:t>
      </w:r>
    </w:p>
    <w:p>
      <w:pPr>
        <w:spacing w:after="50" w:before="0" w:line="276"/>
        <w:ind w:left="200"/>
      </w:pPr>
      <w:r>
        <w:rPr>
          <w:rFonts w:ascii="맑은 고딕" w:cs="맑은 고딕" w:eastAsia="맑은 고딕" w:hAnsi="맑은 고딕"/>
          <w:sz w:val="19"/>
          <w:szCs w:val="19"/>
        </w:rPr>
        <w:t xml:space="preserve">1) 공사실적액은 해당 공사업자의 수급액에서 하도급분을 제외하고 하수급분을 포함하며, 두 곳 이상의 공사업자가 1건의 공사를 공동으로 도급받은 경우에는 각 공사업자가 시공한 부분의 공사실적을 각각의 공사업자의 공사실적액으로 한다.</w:t>
      </w:r>
    </w:p>
    <w:p>
      <w:pPr>
        <w:pageBreakBefore/>
        <w:spacing w:after="20"/>
      </w:pPr>
      <w:r>
        <w:rPr>
          <w:rFonts w:ascii="맑은 고딕" w:cs="맑은 고딕" w:eastAsia="맑은 고딕" w:hAnsi="맑은 고딕"/>
          <w:b/>
          <w:bCs/>
          <w:color w:val="1F3864"/>
          <w:sz w:val="20"/>
          <w:szCs w:val="20"/>
        </w:rPr>
        <w:t xml:space="preserve">붙임 8</w:t>
      </w:r>
    </w:p>
    <w:p>
      <w:pPr>
        <w:spacing w:after="20" w:before="0" w:line="276"/>
      </w:pPr>
      <w:r>
        <w:rPr>
          <w:rFonts w:ascii="맑은 고딕" w:cs="맑은 고딕" w:eastAsia="맑은 고딕" w:hAnsi="맑은 고딕"/>
          <w:b/>
          <w:bCs/>
          <w:sz w:val="28"/>
          <w:szCs w:val="28"/>
        </w:rPr>
        <w:t xml:space="preserve">(구) 입찰참가자격사전심사기준 [별표3] 발췌</w:t>
      </w:r>
    </w:p>
    <w:p>
      <w:pPr>
        <w:pBdr>
          <w:bottom w:val="single" w:color="1F3864" w:sz="12" w:space="4"/>
        </w:pBdr>
        <w:spacing w:after="160" w:before="0" w:line="276"/>
      </w:pPr>
      <w:r>
        <w:rPr>
          <w:rFonts w:ascii="맑은 고딕" w:cs="맑은 고딕" w:eastAsia="맑은 고딕" w:hAnsi="맑은 고딕"/>
          <w:color w:val="595959"/>
          <w:sz w:val="17"/>
          <w:szCs w:val="17"/>
        </w:rPr>
        <w:t xml:space="preserve">국가철도공단 입찰참가자격사전심사기준 2021.03.25. 개정본 (2021.05.27. 개정 전) — 철도산업정보센터 게시본</w:t>
      </w:r>
    </w:p>
    <w:p>
      <w:pPr>
        <w:keepNext/>
        <w:spacing w:after="60" w:before="120" w:line="276"/>
      </w:pPr>
      <w:r>
        <w:rPr>
          <w:rFonts w:ascii="맑은 고딕" w:cs="맑은 고딕" w:eastAsia="맑은 고딕" w:hAnsi="맑은 고딕"/>
          <w:b/>
          <w:bCs/>
          <w:sz w:val="20"/>
          <w:szCs w:val="20"/>
        </w:rPr>
        <w:t xml:space="preserve">■ [별표3] 마. 공사의 일부분을 하도급한 경우의 실적인정 (개정 전)</w:t>
      </w:r>
    </w:p>
    <w:p>
      <w:pPr>
        <w:spacing w:after="50" w:before="0" w:line="276"/>
        <w:ind w:left="200"/>
      </w:pPr>
      <w:r>
        <w:rPr>
          <w:rFonts w:ascii="맑은 고딕" w:cs="맑은 고딕" w:eastAsia="맑은 고딕" w:hAnsi="맑은 고딕"/>
          <w:sz w:val="19"/>
          <w:szCs w:val="19"/>
        </w:rPr>
        <w:t xml:space="preserve">마. 공사의 일부분을 하도급한 경우의 실적인정</w:t>
      </w:r>
    </w:p>
    <w:p>
      <w:pPr>
        <w:spacing w:after="50" w:before="0" w:line="276"/>
        <w:ind w:left="200"/>
      </w:pPr>
      <w:r>
        <w:rPr>
          <w:rFonts w:ascii="맑은 고딕" w:cs="맑은 고딕" w:eastAsia="맑은 고딕" w:hAnsi="맑은 고딕"/>
          <w:sz w:val="19"/>
          <w:szCs w:val="19"/>
        </w:rPr>
        <w:t xml:space="preserve">⑴종합건설업자(전기ㆍ통신ㆍ소방ㆍ문화재공사업자 등을 포함하며 이하 같다.)가 종합건설업자에게 하도급한 경우 하도급을 준 원도급자의 실적인정은 하도급을 제외한 부분만 실적으로 인정하며, 하수급자인 종합건설업자 실적은 하수급하여 시공한 부분에 대하여만 실적으로 인정한다.</w:t>
      </w:r>
    </w:p>
    <w:p>
      <w:pPr>
        <w:spacing w:after="50" w:before="0" w:line="276"/>
        <w:ind w:left="200"/>
      </w:pPr>
      <w:r>
        <w:rPr>
          <w:rFonts w:ascii="맑은 고딕" w:cs="맑은 고딕" w:eastAsia="맑은 고딕" w:hAnsi="맑은 고딕"/>
          <w:sz w:val="19"/>
          <w:szCs w:val="19"/>
        </w:rPr>
        <w:t xml:space="preserve">⑵실적대상구조물인 교량의 일부분에 해당하는 철강재설치공사업에 해당하는 공사를 `97년 7월 10일 이전에 철강재설치공사업자에게 하도급한 경우 원도급자의 실적은 하도급 부분을 제외한 공사금액을 해당 교량공사의 실적으로 인정하며, 동 교량실적에 대한 규모(량)는 하도급부분을 제외한 공사금액이 해당 공사에서 차지하는 비율을 해당 규모(량)에 곱하여 산출한다.</w:t>
      </w:r>
    </w:p>
    <w:p>
      <w:pPr>
        <w:spacing w:after="50" w:before="0" w:line="276"/>
        <w:ind w:left="200"/>
      </w:pPr>
      <w:r>
        <w:rPr>
          <w:rFonts w:ascii="맑은 고딕" w:cs="맑은 고딕" w:eastAsia="맑은 고딕" w:hAnsi="맑은 고딕"/>
          <w:sz w:val="19"/>
          <w:szCs w:val="19"/>
        </w:rPr>
        <w:t xml:space="preserve">⑶종합건설업자가 전문건설업자에게 하도급한 경우에는 원도급자와 하수급자(전문건설업자) 각각의 실적으로 인정한다. 다만, 전기ㆍ통신ㆍ소방ㆍ문화재공사의 경우에는 적용하지 아니한다.</w:t>
      </w:r>
    </w:p>
    <w:p>
      <w:pPr>
        <w:spacing w:after="80" w:before="240" w:line="276"/>
      </w:pPr>
      <w:r>
        <w:rPr>
          <w:rFonts w:ascii="맑은 고딕" w:cs="맑은 고딕" w:eastAsia="맑은 고딕" w:hAnsi="맑은 고딕"/>
          <w:color w:val="595959"/>
          <w:sz w:val="17"/>
          <w:szCs w:val="17"/>
        </w:rPr>
        <w:t xml:space="preserve">※ 공단 내규는 국가철도공단 사규시스템(law.kr.or.kr)·철도산업정보센터, 법령은 2026.10.19. 현행 원문에서 발췌함. 다만 붙임 7은 2012.9.14. 개정 별표, 붙임 8은 2021.03.25. 개정 전 기준임.</w:t>
      </w:r>
    </w:p>
    <w:sectPr>
      <w:footerReference w:type="default" r:id="rId7"/>
      <w:pgSz w:w="11906" w:h="16838" w:orient="portrait"/>
      <w:pgMar w:top="964" w:right="1134" w:bottom="90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2026-10-19T07:01:21.798Z</dcterms:created>
  <dcterms:modified xsi:type="dcterms:W3CDTF">2026-10-19T07:01:21.798Z</dcterms:modified>
</cp:coreProperties>
</file>

<file path=docProps/custom.xml><?xml version="1.0" encoding="utf-8"?>
<Properties xmlns="http://schemas.openxmlformats.org/officeDocument/2006/custom-properties" xmlns:vt="http://schemas.openxmlformats.org/officeDocument/2006/docPropsVTypes"/>
</file>