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t��cnico de migraci��n criptogr��fica poscu��ntica</w:t>
      </w:r>
    </w:p>
    <w:p>
      <w:pPr>
        <w:pStyle w:val="Author"/>
      </w:pPr>
      <w:r>
        <w:t xml:space="preserve">KRONOS 360</w:t>
      </w:r>
    </w:p>
    <w:p>
      <w:pPr>
        <w:pStyle w:val="Date"/>
      </w:pPr>
      <w:r>
        <w:t xml:space="preserve">Versión</w:t>
      </w:r>
      <w:r>
        <w:t xml:space="preserve"> </w:t>
      </w:r>
      <w:r>
        <w:t xml:space="preserve">1.0</w:t>
      </w:r>
      <w:r>
        <w:t xml:space="preserve"> </w:t>
      </w:r>
      <w:r>
        <w:t xml:space="preserve">—</w:t>
      </w:r>
      <w:r>
        <w:t xml:space="preserve"> </w:t>
      </w:r>
      <w:r>
        <w:t xml:space="preserve">21</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ntrol-del-documento"/>
    <w:p>
      <w:pPr>
        <w:pStyle w:val="Heading1"/>
      </w:pPr>
      <w:r>
        <w:t xml:space="preserve">Control del documento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Sistema</w:t>
            </w:r>
          </w:p>
        </w:tc>
        <w:tc>
          <w:tcPr/>
          <w:p>
            <w:pPr>
              <w:pStyle w:val="Compact"/>
              <w:jc w:val="left"/>
            </w:pPr>
            <w:r>
              <w:t xml:space="preserve">KRONOS 360</w:t>
            </w:r>
          </w:p>
        </w:tc>
      </w:tr>
      <w:tr>
        <w:tc>
          <w:tcPr/>
          <w:p>
            <w:pPr>
              <w:pStyle w:val="Compact"/>
              <w:jc w:val="left"/>
            </w:pPr>
            <w:r>
              <w:t xml:space="preserve">Documento</w:t>
            </w:r>
          </w:p>
        </w:tc>
        <w:tc>
          <w:tcPr/>
          <w:p>
            <w:pPr>
              <w:pStyle w:val="Compact"/>
              <w:jc w:val="left"/>
            </w:pPr>
            <w:r>
              <w:t xml:space="preserve">Manual técnico de migración criptográfica poscuántica</w:t>
            </w:r>
          </w:p>
        </w:tc>
      </w:tr>
      <w:tr>
        <w:tc>
          <w:tcPr/>
          <w:p>
            <w:pPr>
              <w:pStyle w:val="Compact"/>
              <w:jc w:val="left"/>
            </w:pPr>
            <w:r>
              <w:t xml:space="preserve">Versión</w:t>
            </w:r>
          </w:p>
        </w:tc>
        <w:tc>
          <w:tcPr/>
          <w:p>
            <w:pPr>
              <w:pStyle w:val="Compact"/>
              <w:jc w:val="left"/>
            </w:pPr>
            <w:r>
              <w:t xml:space="preserve">1.0</w:t>
            </w:r>
          </w:p>
        </w:tc>
      </w:tr>
      <w:tr>
        <w:tc>
          <w:tcPr/>
          <w:p>
            <w:pPr>
              <w:pStyle w:val="Compact"/>
              <w:jc w:val="left"/>
            </w:pPr>
            <w:r>
              <w:t xml:space="preserve">Estado</w:t>
            </w:r>
          </w:p>
        </w:tc>
        <w:tc>
          <w:tcPr/>
          <w:p>
            <w:pPr>
              <w:pStyle w:val="Compact"/>
              <w:jc w:val="left"/>
            </w:pPr>
            <w:r>
              <w:t xml:space="preserve">Propuesta de implementación</w:t>
            </w:r>
          </w:p>
        </w:tc>
      </w:tr>
      <w:tr>
        <w:tc>
          <w:tcPr/>
          <w:p>
            <w:pPr>
              <w:pStyle w:val="Compact"/>
              <w:jc w:val="left"/>
            </w:pPr>
            <w:r>
              <w:t xml:space="preserve">Propietario</w:t>
            </w:r>
          </w:p>
        </w:tc>
        <w:tc>
          <w:tcPr/>
          <w:p>
            <w:pPr>
              <w:pStyle w:val="Compact"/>
              <w:jc w:val="left"/>
            </w:pPr>
            <w:r>
              <w:t xml:space="preserve">Equipo técnico de KRONOS 360</w:t>
            </w:r>
          </w:p>
        </w:tc>
      </w:tr>
      <w:tr>
        <w:tc>
          <w:tcPr/>
          <w:p>
            <w:pPr>
              <w:pStyle w:val="Compact"/>
              <w:jc w:val="left"/>
            </w:pPr>
            <w:r>
              <w:t xml:space="preserve">Revisión</w:t>
            </w:r>
          </w:p>
        </w:tc>
        <w:tc>
          <w:tcPr/>
          <w:p>
            <w:pPr>
              <w:pStyle w:val="Compact"/>
              <w:jc w:val="left"/>
            </w:pPr>
            <w:r>
              <w:t xml:space="preserve">Anual o ante cambios críticos de estándares</w:t>
            </w:r>
          </w:p>
        </w:tc>
      </w:tr>
    </w:tbl>
    <w:p>
      <w:pPr>
        <w:pStyle w:val="BlockText"/>
      </w:pPr>
      <w:r>
        <w:rPr>
          <w:b/>
          <w:bCs/>
        </w:rPr>
        <w:t xml:space="preserve">Nota de alcance.</w:t>
      </w:r>
      <w:r>
        <w:t xml:space="preserve"> </w:t>
      </w:r>
      <w:r>
        <w:t xml:space="preserve">Este manual es una guía técnica de arquitectura y operación. No constituye una certificación legal, una auditoría de seguridad ni una garantía de invulnerabilidad. Las implementaciones criptográficas deben someterse a revisión independiente antes de producción.</w:t>
      </w:r>
    </w:p>
    <w:bookmarkEnd w:id="20"/>
    <w:bookmarkStart w:id="21" w:name="resumen-ejecutivo"/>
    <w:p>
      <w:pPr>
        <w:pStyle w:val="Heading1"/>
      </w:pPr>
      <w:r>
        <w:t xml:space="preserve">1. Resumen ejecutivo</w:t>
      </w:r>
    </w:p>
    <w:p>
      <w:pPr>
        <w:pStyle w:val="FirstParagraph"/>
      </w:pPr>
      <w:r>
        <w:t xml:space="preserve">KRONOS 360 debe migrar de una arquitectura criptográfica rígida a una arquitectura</w:t>
      </w:r>
      <w:r>
        <w:t xml:space="preserve"> </w:t>
      </w:r>
      <w:r>
        <w:rPr>
          <w:b/>
          <w:bCs/>
        </w:rPr>
        <w:t xml:space="preserve">crypto-agile</w:t>
      </w:r>
      <w:r>
        <w:t xml:space="preserve">, capaz de incorporar algoritmos nuevos sin rediseñar el sistema ni invalidar la verificabilidad histórica de certificados.</w:t>
      </w:r>
    </w:p>
    <w:p>
      <w:pPr>
        <w:pStyle w:val="BodyText"/>
      </w:pPr>
      <w:r>
        <w:t xml:space="preserve">La estrategia recomendada es una transición híbrida:</w:t>
      </w:r>
    </w:p>
    <w:p>
      <w:pPr>
        <w:pStyle w:val="Compact"/>
        <w:numPr>
          <w:ilvl w:val="0"/>
          <w:numId w:val="1001"/>
        </w:numPr>
      </w:pPr>
      <w:r>
        <w:t xml:space="preserve">Mantener una huella digital robusta del contenido mediante SHA3-512.</w:t>
      </w:r>
    </w:p>
    <w:p>
      <w:pPr>
        <w:pStyle w:val="Compact"/>
        <w:numPr>
          <w:ilvl w:val="0"/>
          <w:numId w:val="1001"/>
        </w:numPr>
      </w:pPr>
      <w:r>
        <w:t xml:space="preserve">Firmar los registros con un algoritmo clásico durante la etapa de transición.</w:t>
      </w:r>
    </w:p>
    <w:p>
      <w:pPr>
        <w:pStyle w:val="Compact"/>
        <w:numPr>
          <w:ilvl w:val="0"/>
          <w:numId w:val="1001"/>
        </w:numPr>
      </w:pPr>
      <w:r>
        <w:t xml:space="preserve">Añadir una firma poscuántica basada en ML-DSA, estándar de NIST derivado de CRYSTALS-Dilithium.</w:t>
      </w:r>
    </w:p>
    <w:p>
      <w:pPr>
        <w:pStyle w:val="Compact"/>
        <w:numPr>
          <w:ilvl w:val="0"/>
          <w:numId w:val="1001"/>
        </w:numPr>
      </w:pPr>
      <w:r>
        <w:t xml:space="preserve">Almacenar las firmas, parámetros, versiones, fechas y claves públicas necesarias para verificar cada registro.</w:t>
      </w:r>
    </w:p>
    <w:p>
      <w:pPr>
        <w:pStyle w:val="Compact"/>
        <w:numPr>
          <w:ilvl w:val="0"/>
          <w:numId w:val="1001"/>
        </w:numPr>
      </w:pPr>
      <w:r>
        <w:t xml:space="preserve">Conservar todos los artefactos históricos y añadir evidencias de migración, sin sobrescribirlos.</w:t>
      </w:r>
    </w:p>
    <w:p>
      <w:pPr>
        <w:pStyle w:val="Compact"/>
        <w:numPr>
          <w:ilvl w:val="0"/>
          <w:numId w:val="1001"/>
        </w:numPr>
      </w:pPr>
      <w:r>
        <w:t xml:space="preserve">Preparar la plataforma para futuros estándares poscuánticos, cambios de parámetros y algoritmos alternativos.</w:t>
      </w:r>
    </w:p>
    <w:p>
      <w:pPr>
        <w:pStyle w:val="FirstParagraph"/>
      </w:pPr>
      <w:r>
        <w:t xml:space="preserve">El objetivo no es afirmar que un sistema es imposible de romper. El objetivo es reducir el riesgo de obsolescencia criptográfica, proteger la integridad de los registros y preservar su verificabilidad a largo plazo.</w:t>
      </w:r>
    </w:p>
    <w:bookmarkEnd w:id="21"/>
    <w:bookmarkStart w:id="24" w:name="objetivos-y-no-objetivos"/>
    <w:p>
      <w:pPr>
        <w:pStyle w:val="Heading1"/>
      </w:pPr>
      <w:r>
        <w:t xml:space="preserve">2. Objetivos y no objetivos</w:t>
      </w:r>
    </w:p>
    <w:bookmarkStart w:id="22" w:name="objetivos"/>
    <w:p>
      <w:pPr>
        <w:pStyle w:val="Heading2"/>
      </w:pPr>
      <w:r>
        <w:t xml:space="preserve">2.1 Objetivos</w:t>
      </w:r>
    </w:p>
    <w:p>
      <w:pPr>
        <w:pStyle w:val="Compact"/>
        <w:numPr>
          <w:ilvl w:val="0"/>
          <w:numId w:val="1002"/>
        </w:numPr>
      </w:pPr>
      <w:r>
        <w:t xml:space="preserve">Proteger la integridad de documentos y folios.</w:t>
      </w:r>
    </w:p>
    <w:p>
      <w:pPr>
        <w:pStyle w:val="Compact"/>
        <w:numPr>
          <w:ilvl w:val="0"/>
          <w:numId w:val="1002"/>
        </w:numPr>
      </w:pPr>
      <w:r>
        <w:t xml:space="preserve">Proporcionar autenticidad verificable mediante firmas digitales.</w:t>
      </w:r>
    </w:p>
    <w:p>
      <w:pPr>
        <w:pStyle w:val="Compact"/>
        <w:numPr>
          <w:ilvl w:val="0"/>
          <w:numId w:val="1002"/>
        </w:numPr>
      </w:pPr>
      <w:r>
        <w:t xml:space="preserve">Mantener una cadena de evidencia auditable.</w:t>
      </w:r>
    </w:p>
    <w:p>
      <w:pPr>
        <w:pStyle w:val="Compact"/>
        <w:numPr>
          <w:ilvl w:val="0"/>
          <w:numId w:val="1002"/>
        </w:numPr>
      </w:pPr>
      <w:r>
        <w:t xml:space="preserve">Permitir firmas híbridas clásicas y poscuánticas.</w:t>
      </w:r>
    </w:p>
    <w:p>
      <w:pPr>
        <w:pStyle w:val="Compact"/>
        <w:numPr>
          <w:ilvl w:val="0"/>
          <w:numId w:val="1002"/>
        </w:numPr>
      </w:pPr>
      <w:r>
        <w:t xml:space="preserve">Facilitar la rotación y revocación de claves.</w:t>
      </w:r>
    </w:p>
    <w:p>
      <w:pPr>
        <w:pStyle w:val="Compact"/>
        <w:numPr>
          <w:ilvl w:val="0"/>
          <w:numId w:val="1002"/>
        </w:numPr>
      </w:pPr>
      <w:r>
        <w:t xml:space="preserve">Evitar que una actualización futura invalide certificados anteriores.</w:t>
      </w:r>
    </w:p>
    <w:p>
      <w:pPr>
        <w:pStyle w:val="Compact"/>
        <w:numPr>
          <w:ilvl w:val="0"/>
          <w:numId w:val="1002"/>
        </w:numPr>
      </w:pPr>
      <w:r>
        <w:t xml:space="preserve">Definir pruebas, métricas, responsables y criterios de aceptación.</w:t>
      </w:r>
    </w:p>
    <w:p>
      <w:pPr>
        <w:pStyle w:val="Compact"/>
        <w:numPr>
          <w:ilvl w:val="0"/>
          <w:numId w:val="1002"/>
        </w:numPr>
      </w:pPr>
      <w:r>
        <w:t xml:space="preserve">Permitir migración gradual sin interrupción del servicio.</w:t>
      </w:r>
    </w:p>
    <w:bookmarkEnd w:id="22"/>
    <w:bookmarkStart w:id="23" w:name="no-objetivos"/>
    <w:p>
      <w:pPr>
        <w:pStyle w:val="Heading2"/>
      </w:pPr>
      <w:r>
        <w:t xml:space="preserve">2.2 No objetivos</w:t>
      </w:r>
    </w:p>
    <w:p>
      <w:pPr>
        <w:pStyle w:val="Compact"/>
        <w:numPr>
          <w:ilvl w:val="0"/>
          <w:numId w:val="1003"/>
        </w:numPr>
      </w:pPr>
      <w:r>
        <w:t xml:space="preserve">No se afirma que SHA3-512 sea una firma digital.</w:t>
      </w:r>
    </w:p>
    <w:p>
      <w:pPr>
        <w:pStyle w:val="Compact"/>
        <w:numPr>
          <w:ilvl w:val="0"/>
          <w:numId w:val="1003"/>
        </w:numPr>
      </w:pPr>
      <w:r>
        <w:t xml:space="preserve">No se afirma que ML-DSA haga automáticamente legal un certificado.</w:t>
      </w:r>
    </w:p>
    <w:p>
      <w:pPr>
        <w:pStyle w:val="Compact"/>
        <w:numPr>
          <w:ilvl w:val="0"/>
          <w:numId w:val="1003"/>
        </w:numPr>
      </w:pPr>
      <w:r>
        <w:t xml:space="preserve">No se afirma que una computadora cuántica actual pueda romper SHA-256 o SHA3-512.</w:t>
      </w:r>
    </w:p>
    <w:p>
      <w:pPr>
        <w:pStyle w:val="Compact"/>
        <w:numPr>
          <w:ilvl w:val="0"/>
          <w:numId w:val="1003"/>
        </w:numPr>
      </w:pPr>
      <w:r>
        <w:t xml:space="preserve">No se sustituye la revisión legal, notarial o de cumplimiento.</w:t>
      </w:r>
    </w:p>
    <w:p>
      <w:pPr>
        <w:pStyle w:val="Compact"/>
        <w:numPr>
          <w:ilvl w:val="0"/>
          <w:numId w:val="1003"/>
        </w:numPr>
      </w:pPr>
      <w:r>
        <w:t xml:space="preserve">No se recomienda desarrollar criptografía propia.</w:t>
      </w:r>
    </w:p>
    <w:p>
      <w:pPr>
        <w:pStyle w:val="Compact"/>
        <w:numPr>
          <w:ilvl w:val="0"/>
          <w:numId w:val="1003"/>
        </w:numPr>
      </w:pPr>
      <w:r>
        <w:t xml:space="preserve">No se debe presentar una interpretación comercial como garantía absoluta.</w:t>
      </w:r>
    </w:p>
    <w:bookmarkEnd w:id="23"/>
    <w:bookmarkEnd w:id="24"/>
    <w:bookmarkStart w:id="28" w:name="fundamentos-técnicos"/>
    <w:p>
      <w:pPr>
        <w:pStyle w:val="Heading1"/>
      </w:pPr>
      <w:r>
        <w:t xml:space="preserve">3. Fundamentos técnicos</w:t>
      </w:r>
    </w:p>
    <w:bookmarkStart w:id="25" w:name="hash-frente-a-firma-digital"/>
    <w:p>
      <w:pPr>
        <w:pStyle w:val="Heading2"/>
      </w:pPr>
      <w:r>
        <w:t xml:space="preserve">3.1 Hash frente a firma digital</w:t>
      </w:r>
    </w:p>
    <w:p>
      <w:pPr>
        <w:pStyle w:val="FirstParagraph"/>
      </w:pPr>
      <w:r>
        <w:t xml:space="preserve">Un hash transforma un contenido en una huella de longitud fija. Si cambia el documento, normalmente cambia la huella. Sin embargo, un hash por sí solo no demuestra quién creó el documento: cualquiera podría calcularlo.</w:t>
      </w:r>
    </w:p>
    <w:p>
      <w:pPr>
        <w:pStyle w:val="BodyText"/>
      </w:pPr>
      <w:r>
        <w:t xml:space="preserve">Una firma digital vincula el contenido con una clave privada. La verificación utiliza la clave pública asociada. Por esta razón, KRONOS 360 debe almacenar ambos elementos: la huella y la firma.</w:t>
      </w:r>
    </w:p>
    <w:bookmarkEnd w:id="25"/>
    <w:bookmarkStart w:id="26" w:name="riesgo-cuántico"/>
    <w:p>
      <w:pPr>
        <w:pStyle w:val="Heading2"/>
      </w:pPr>
      <w:r>
        <w:t xml:space="preserve">3.2 Riesgo cuántico</w:t>
      </w:r>
    </w:p>
    <w:p>
      <w:pPr>
        <w:pStyle w:val="FirstParagraph"/>
      </w:pPr>
      <w:r>
        <w:t xml:space="preserve">El riesgo de mayor impacto futuro afecta a familias como RSA y ECC, debido a algoritmos cuánticos teóricos capaces de resolver ciertos problemas matemáticos subyacentes. Los hashes no se comportan igual: el efecto conocido de Grover reduce aproximadamente a la mitad la seguridad efectiva del espacio de búsqueda, pero no equivale a una ruptura automática de SHA-256 o SHA3-512.</w:t>
      </w:r>
    </w:p>
    <w:p>
      <w:pPr>
        <w:pStyle w:val="BodyText"/>
      </w:pPr>
      <w:r>
        <w:t xml:space="preserve">La respuesta correcta es una migración planificada, no el reemplazo indiscriminado de todos los componentes.</w:t>
      </w:r>
    </w:p>
    <w:bookmarkEnd w:id="26"/>
    <w:bookmarkStart w:id="27" w:name="crypto-agility"/>
    <w:p>
      <w:pPr>
        <w:pStyle w:val="Heading2"/>
      </w:pPr>
      <w:r>
        <w:t xml:space="preserve">3.3 Crypto-agility</w:t>
      </w:r>
    </w:p>
    <w:p>
      <w:pPr>
        <w:pStyle w:val="FirstParagraph"/>
      </w:pPr>
      <w:r>
        <w:t xml:space="preserve">La crypto-agility exige que el algoritmo no esté codificado como una decisión permanente en toda la aplicación. Debe existir:</w:t>
      </w:r>
    </w:p>
    <w:p>
      <w:pPr>
        <w:pStyle w:val="Compact"/>
        <w:numPr>
          <w:ilvl w:val="0"/>
          <w:numId w:val="1004"/>
        </w:numPr>
      </w:pPr>
      <w:r>
        <w:t xml:space="preserve">Identificador de algoritmo.</w:t>
      </w:r>
    </w:p>
    <w:p>
      <w:pPr>
        <w:pStyle w:val="Compact"/>
        <w:numPr>
          <w:ilvl w:val="0"/>
          <w:numId w:val="1004"/>
        </w:numPr>
      </w:pPr>
      <w:r>
        <w:t xml:space="preserve">Versión de política criptográfica.</w:t>
      </w:r>
    </w:p>
    <w:p>
      <w:pPr>
        <w:pStyle w:val="Compact"/>
        <w:numPr>
          <w:ilvl w:val="0"/>
          <w:numId w:val="1004"/>
        </w:numPr>
      </w:pPr>
      <w:r>
        <w:t xml:space="preserve">Registro de parámetros.</w:t>
      </w:r>
    </w:p>
    <w:p>
      <w:pPr>
        <w:pStyle w:val="Compact"/>
        <w:numPr>
          <w:ilvl w:val="0"/>
          <w:numId w:val="1004"/>
        </w:numPr>
      </w:pPr>
      <w:r>
        <w:t xml:space="preserve">Adaptadores por proveedor.</w:t>
      </w:r>
    </w:p>
    <w:p>
      <w:pPr>
        <w:pStyle w:val="Compact"/>
        <w:numPr>
          <w:ilvl w:val="0"/>
          <w:numId w:val="1004"/>
        </w:numPr>
      </w:pPr>
      <w:r>
        <w:t xml:space="preserve">Validación de algoritmos permitidos.</w:t>
      </w:r>
    </w:p>
    <w:p>
      <w:pPr>
        <w:pStyle w:val="Compact"/>
        <w:numPr>
          <w:ilvl w:val="0"/>
          <w:numId w:val="1004"/>
        </w:numPr>
      </w:pPr>
      <w:r>
        <w:t xml:space="preserve">Periodos de transición.</w:t>
      </w:r>
    </w:p>
    <w:p>
      <w:pPr>
        <w:pStyle w:val="Compact"/>
        <w:numPr>
          <w:ilvl w:val="0"/>
          <w:numId w:val="1004"/>
        </w:numPr>
      </w:pPr>
      <w:r>
        <w:t xml:space="preserve">Compatibilidad con registros anteriores.</w:t>
      </w:r>
    </w:p>
    <w:bookmarkEnd w:id="27"/>
    <w:bookmarkEnd w:id="28"/>
    <w:bookmarkStart w:id="34" w:name="arquitectura-objetivo"/>
    <w:p>
      <w:pPr>
        <w:pStyle w:val="Heading1"/>
      </w:pPr>
      <w:r>
        <w:t xml:space="preserve">4. Arquitectura objetivo</w:t>
      </w:r>
    </w:p>
    <w:p>
      <w:pPr>
        <w:pStyle w:val="SourceCode"/>
      </w:pPr>
      <w:r>
        <w:rPr>
          <w:rStyle w:val="VerbatimChar"/>
        </w:rPr>
        <w:t xml:space="preserve">Cliente/API</w:t>
      </w:r>
      <w:r>
        <w:br/>
      </w:r>
      <w:r>
        <w:rPr>
          <w:rStyle w:val="VerbatimChar"/>
        </w:rPr>
        <w:t xml:space="preserve">    |</w:t>
      </w:r>
      <w:r>
        <w:br/>
      </w:r>
      <w:r>
        <w:rPr>
          <w:rStyle w:val="VerbatimChar"/>
        </w:rPr>
        <w:t xml:space="preserve">    v</w:t>
      </w:r>
      <w:r>
        <w:br/>
      </w:r>
      <w:r>
        <w:rPr>
          <w:rStyle w:val="VerbatimChar"/>
        </w:rPr>
        <w:t xml:space="preserve">Servicio de canonización ---- Servicio de hash</w:t>
      </w:r>
      <w:r>
        <w:br/>
      </w:r>
      <w:r>
        <w:rPr>
          <w:rStyle w:val="VerbatimChar"/>
        </w:rPr>
        <w:t xml:space="preserve">    |                              |</w:t>
      </w:r>
      <w:r>
        <w:br/>
      </w:r>
      <w:r>
        <w:rPr>
          <w:rStyle w:val="VerbatimChar"/>
        </w:rPr>
        <w:t xml:space="preserve">    +---------- Registro ----------+</w:t>
      </w:r>
      <w:r>
        <w:br/>
      </w:r>
      <w:r>
        <w:rPr>
          <w:rStyle w:val="VerbatimChar"/>
        </w:rPr>
        <w:t xml:space="preserve">                    |</w:t>
      </w:r>
      <w:r>
        <w:br/>
      </w:r>
      <w:r>
        <w:rPr>
          <w:rStyle w:val="VerbatimChar"/>
        </w:rPr>
        <w:t xml:space="preserve">          Servicio de firma híbrida</w:t>
      </w:r>
      <w:r>
        <w:br/>
      </w:r>
      <w:r>
        <w:rPr>
          <w:rStyle w:val="VerbatimChar"/>
        </w:rPr>
        <w:t xml:space="preserve">             |                 |</w:t>
      </w:r>
      <w:r>
        <w:br/>
      </w:r>
      <w:r>
        <w:rPr>
          <w:rStyle w:val="VerbatimChar"/>
        </w:rPr>
        <w:t xml:space="preserve">      Firma clásica       Firma ML-DSA</w:t>
      </w:r>
      <w:r>
        <w:br/>
      </w:r>
      <w:r>
        <w:rPr>
          <w:rStyle w:val="VerbatimChar"/>
        </w:rPr>
        <w:t xml:space="preserve">             |                 |</w:t>
      </w:r>
      <w:r>
        <w:br/>
      </w:r>
      <w:r>
        <w:rPr>
          <w:rStyle w:val="VerbatimChar"/>
        </w:rPr>
        <w:t xml:space="preserve">          Almacén de evidencias</w:t>
      </w:r>
      <w:r>
        <w:br/>
      </w:r>
      <w:r>
        <w:rPr>
          <w:rStyle w:val="VerbatimChar"/>
        </w:rPr>
        <w:t xml:space="preserve">                    |</w:t>
      </w:r>
      <w:r>
        <w:br/>
      </w:r>
      <w:r>
        <w:rPr>
          <w:rStyle w:val="VerbatimChar"/>
        </w:rPr>
        <w:t xml:space="preserve">       Auditoría / revocación / backup</w:t>
      </w:r>
    </w:p>
    <w:bookmarkStart w:id="33" w:name="componentes"/>
    <w:p>
      <w:pPr>
        <w:pStyle w:val="Heading2"/>
      </w:pPr>
      <w:r>
        <w:t xml:space="preserve">4.1 Componentes</w:t>
      </w:r>
    </w:p>
    <w:bookmarkStart w:id="29" w:name="servicio-de-canonización"/>
    <w:p>
      <w:pPr>
        <w:pStyle w:val="Heading3"/>
      </w:pPr>
      <w:r>
        <w:t xml:space="preserve">Servicio de canonización</w:t>
      </w:r>
    </w:p>
    <w:p>
      <w:pPr>
        <w:pStyle w:val="FirstParagraph"/>
      </w:pPr>
      <w:r>
        <w:t xml:space="preserve">Convierte el documento y sus metadatos en una representación determinista antes del hash. Debe definir codificación UTF-8, normalización Unicode, orden de campos, representación de fechas UTC y tratamiento de espacios. Nunca se debe firmar una estructura cuya serialización pueda variar entre lenguajes.</w:t>
      </w:r>
    </w:p>
    <w:bookmarkEnd w:id="29"/>
    <w:bookmarkStart w:id="30" w:name="servicio-de-hash"/>
    <w:p>
      <w:pPr>
        <w:pStyle w:val="Heading3"/>
      </w:pPr>
      <w:r>
        <w:t xml:space="preserve">Servicio de hash</w:t>
      </w:r>
    </w:p>
    <w:p>
      <w:pPr>
        <w:pStyle w:val="FirstParagraph"/>
      </w:pPr>
      <w:r>
        <w:t xml:space="preserve">Calcula la huella del paquete canónico. La política inicial puede utilizar SHA3-512. El resultado debe almacenarse como bytes o como texto hexadecimal/base64 con un único formato documentado.</w:t>
      </w:r>
    </w:p>
    <w:bookmarkEnd w:id="30"/>
    <w:bookmarkStart w:id="31" w:name="servicio-de-firma-híbrida"/>
    <w:p>
      <w:pPr>
        <w:pStyle w:val="Heading3"/>
      </w:pPr>
      <w:r>
        <w:t xml:space="preserve">Servicio de firma híbrida</w:t>
      </w:r>
    </w:p>
    <w:p>
      <w:pPr>
        <w:pStyle w:val="FirstParagraph"/>
      </w:pPr>
      <w:r>
        <w:t xml:space="preserve">Genera una firma clásica y una firma ML-DSA durante la transición. La aplicación debe identificar cuál es la firma primaria, cuál es la complementaria y qué política exige para cada fecha de emisión.</w:t>
      </w:r>
    </w:p>
    <w:bookmarkEnd w:id="31"/>
    <w:bookmarkStart w:id="32" w:name="almacén-de-evidencias"/>
    <w:p>
      <w:pPr>
        <w:pStyle w:val="Heading3"/>
      </w:pPr>
      <w:r>
        <w:t xml:space="preserve">Almacén de evidencias</w:t>
      </w:r>
    </w:p>
    <w:p>
      <w:pPr>
        <w:pStyle w:val="FirstParagraph"/>
      </w:pPr>
      <w:r>
        <w:t xml:space="preserve">Debe ser inmutable o con controles de integridad, contener los documentos, hashes, firmas, certificados, claves públicas, eventos de auditoría y referencias temporales.</w:t>
      </w:r>
    </w:p>
    <w:bookmarkEnd w:id="32"/>
    <w:bookmarkEnd w:id="33"/>
    <w:bookmarkEnd w:id="34"/>
    <w:bookmarkStart w:id="37" w:name="política-criptográfica"/>
    <w:p>
      <w:pPr>
        <w:pStyle w:val="Heading1"/>
      </w:pPr>
      <w:r>
        <w:t xml:space="preserve">5. Política criptográfica</w:t>
      </w:r>
    </w:p>
    <w:bookmarkStart w:id="35" w:name="política-inicial-propuesta"/>
    <w:p>
      <w:pPr>
        <w:pStyle w:val="Heading2"/>
      </w:pPr>
      <w:r>
        <w:t xml:space="preserve">5.1 Política inicial propuesta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Función</w:t>
            </w:r>
          </w:p>
        </w:tc>
        <w:tc>
          <w:tcPr/>
          <w:p>
            <w:pPr>
              <w:pStyle w:val="Compact"/>
              <w:jc w:val="left"/>
            </w:pPr>
            <w:r>
              <w:t xml:space="preserve">Algoritmo inicial</w:t>
            </w:r>
          </w:p>
        </w:tc>
        <w:tc>
          <w:tcPr/>
          <w:p>
            <w:pPr>
              <w:pStyle w:val="Compact"/>
              <w:jc w:val="left"/>
            </w:pPr>
            <w:r>
              <w:t xml:space="preserve">Uso</w:t>
            </w:r>
          </w:p>
        </w:tc>
      </w:tr>
      <w:tr>
        <w:tc>
          <w:tcPr/>
          <w:p>
            <w:pPr>
              <w:pStyle w:val="Compact"/>
              <w:jc w:val="left"/>
            </w:pPr>
            <w:r>
              <w:t xml:space="preserve">Huella de documento</w:t>
            </w:r>
          </w:p>
        </w:tc>
        <w:tc>
          <w:tcPr/>
          <w:p>
            <w:pPr>
              <w:pStyle w:val="Compact"/>
              <w:jc w:val="left"/>
            </w:pPr>
            <w:r>
              <w:t xml:space="preserve">SHA3-512</w:t>
            </w:r>
          </w:p>
        </w:tc>
        <w:tc>
          <w:tcPr/>
          <w:p>
            <w:pPr>
              <w:pStyle w:val="Compact"/>
              <w:jc w:val="left"/>
            </w:pPr>
            <w:r>
              <w:t xml:space="preserve">Integridad del contenido</w:t>
            </w:r>
          </w:p>
        </w:tc>
      </w:tr>
      <w:tr>
        <w:tc>
          <w:tcPr/>
          <w:p>
            <w:pPr>
              <w:pStyle w:val="Compact"/>
              <w:jc w:val="left"/>
            </w:pPr>
            <w:r>
              <w:t xml:space="preserve">Firma clásica de transición</w:t>
            </w:r>
          </w:p>
        </w:tc>
        <w:tc>
          <w:tcPr/>
          <w:p>
            <w:pPr>
              <w:pStyle w:val="Compact"/>
              <w:jc w:val="left"/>
            </w:pPr>
            <w:r>
              <w:t xml:space="preserve">ECDSA P-256 o equivalente aprobado</w:t>
            </w:r>
          </w:p>
        </w:tc>
        <w:tc>
          <w:tcPr/>
          <w:p>
            <w:pPr>
              <w:pStyle w:val="Compact"/>
              <w:jc w:val="left"/>
            </w:pPr>
            <w:r>
              <w:t xml:space="preserve">Compatibilidad existente</w:t>
            </w:r>
          </w:p>
        </w:tc>
      </w:tr>
      <w:tr>
        <w:tc>
          <w:tcPr/>
          <w:p>
            <w:pPr>
              <w:pStyle w:val="Compact"/>
              <w:jc w:val="left"/>
            </w:pPr>
            <w:r>
              <w:t xml:space="preserve">Firma poscuántica</w:t>
            </w:r>
          </w:p>
        </w:tc>
        <w:tc>
          <w:tcPr/>
          <w:p>
            <w:pPr>
              <w:pStyle w:val="Compact"/>
              <w:jc w:val="left"/>
            </w:pPr>
            <w:r>
              <w:t xml:space="preserve">ML-DSA con nivel aprobado por la política interna</w:t>
            </w:r>
          </w:p>
        </w:tc>
        <w:tc>
          <w:tcPr/>
          <w:p>
            <w:pPr>
              <w:pStyle w:val="Compact"/>
              <w:jc w:val="left"/>
            </w:pPr>
            <w:r>
              <w:t xml:space="preserve">Firma complementaria o híbrida</w:t>
            </w:r>
          </w:p>
        </w:tc>
      </w:tr>
      <w:tr>
        <w:tc>
          <w:tcPr/>
          <w:p>
            <w:pPr>
              <w:pStyle w:val="Compact"/>
              <w:jc w:val="left"/>
            </w:pPr>
            <w:r>
              <w:t xml:space="preserve">Cifrado de transporte</w:t>
            </w:r>
          </w:p>
        </w:tc>
        <w:tc>
          <w:tcPr/>
          <w:p>
            <w:pPr>
              <w:pStyle w:val="Compact"/>
              <w:jc w:val="left"/>
            </w:pPr>
            <w:r>
              <w:t xml:space="preserve">TLS configurado según política vigente</w:t>
            </w:r>
          </w:p>
        </w:tc>
        <w:tc>
          <w:tcPr/>
          <w:p>
            <w:pPr>
              <w:pStyle w:val="Compact"/>
              <w:jc w:val="left"/>
            </w:pPr>
            <w:r>
              <w:t xml:space="preserve">Comunicación</w:t>
            </w:r>
          </w:p>
        </w:tc>
      </w:tr>
      <w:tr>
        <w:tc>
          <w:tcPr/>
          <w:p>
            <w:pPr>
              <w:pStyle w:val="Compact"/>
              <w:jc w:val="left"/>
            </w:pPr>
            <w:r>
              <w:t xml:space="preserve">Generación aleatoria</w:t>
            </w:r>
          </w:p>
        </w:tc>
        <w:tc>
          <w:tcPr/>
          <w:p>
            <w:pPr>
              <w:pStyle w:val="Compact"/>
              <w:jc w:val="left"/>
            </w:pPr>
            <w:r>
              <w:t xml:space="preserve">CSPRNG del sistema operativo o HSM</w:t>
            </w:r>
          </w:p>
        </w:tc>
        <w:tc>
          <w:tcPr/>
          <w:p>
            <w:pPr>
              <w:pStyle w:val="Compact"/>
              <w:jc w:val="left"/>
            </w:pPr>
            <w:r>
              <w:t xml:space="preserve">Claves y nonces</w:t>
            </w:r>
          </w:p>
        </w:tc>
      </w:tr>
      <w:tr>
        <w:tc>
          <w:tcPr/>
          <w:p>
            <w:pPr>
              <w:pStyle w:val="Compact"/>
              <w:jc w:val="left"/>
            </w:pPr>
            <w:r>
              <w:t xml:space="preserve">Gestión de secretos</w:t>
            </w:r>
          </w:p>
        </w:tc>
        <w:tc>
          <w:tcPr/>
          <w:p>
            <w:pPr>
              <w:pStyle w:val="Compact"/>
              <w:jc w:val="left"/>
            </w:pPr>
            <w:r>
              <w:t xml:space="preserve">HSM/KMS cuando sea viable</w:t>
            </w:r>
          </w:p>
        </w:tc>
        <w:tc>
          <w:tcPr/>
          <w:p>
            <w:pPr>
              <w:pStyle w:val="Compact"/>
              <w:jc w:val="left"/>
            </w:pPr>
            <w:r>
              <w:t xml:space="preserve">Custodia de claves privadas</w:t>
            </w:r>
          </w:p>
        </w:tc>
      </w:tr>
    </w:tbl>
    <w:p>
      <w:pPr>
        <w:pStyle w:val="BodyText"/>
      </w:pPr>
      <w:r>
        <w:t xml:space="preserve">La selección final debe depender de las bibliotecas soportadas, validaciones disponibles, requisitos regulatorios y análisis de riesgo. Las claves privadas nunca deben almacenarse en el repositorio de código ni en registros de aplicación.</w:t>
      </w:r>
    </w:p>
    <w:bookmarkEnd w:id="35"/>
    <w:bookmarkStart w:id="36" w:name="identificadores-de-algoritmo"/>
    <w:p>
      <w:pPr>
        <w:pStyle w:val="Heading2"/>
      </w:pPr>
      <w:r>
        <w:t xml:space="preserve">5.2 Identificadores de algoritmo</w:t>
      </w:r>
    </w:p>
    <w:p>
      <w:pPr>
        <w:pStyle w:val="FirstParagraph"/>
      </w:pPr>
      <w:r>
        <w:t xml:space="preserve">Usar identificadores estables, por ejemplo:</w:t>
      </w:r>
    </w:p>
    <w:p>
      <w:pPr>
        <w:pStyle w:val="SourceCode"/>
      </w:pPr>
      <w:r>
        <w:rPr>
          <w:rStyle w:val="FunctionTok"/>
        </w:rPr>
        <w:t xml:space="preserve">{</w:t>
      </w:r>
      <w:r>
        <w:br/>
      </w:r>
      <w:r>
        <w:rPr>
          <w:rStyle w:val="NormalTok"/>
        </w:rPr>
        <w:t xml:space="preserve">  </w:t>
      </w:r>
      <w:r>
        <w:rPr>
          <w:rStyle w:val="DataTypeTok"/>
        </w:rPr>
        <w:t xml:space="preserve">"hash_algorithm"</w:t>
      </w:r>
      <w:r>
        <w:rPr>
          <w:rStyle w:val="FunctionTok"/>
        </w:rPr>
        <w:t xml:space="preserve">:</w:t>
      </w:r>
      <w:r>
        <w:rPr>
          <w:rStyle w:val="NormalTok"/>
        </w:rPr>
        <w:t xml:space="preserve"> </w:t>
      </w:r>
      <w:r>
        <w:rPr>
          <w:rStyle w:val="StringTok"/>
        </w:rPr>
        <w:t xml:space="preserve">"SHA3-512"</w:t>
      </w:r>
      <w:r>
        <w:rPr>
          <w:rStyle w:val="FunctionTok"/>
        </w:rPr>
        <w:t xml:space="preserve">,</w:t>
      </w:r>
      <w:r>
        <w:br/>
      </w:r>
      <w:r>
        <w:rPr>
          <w:rStyle w:val="NormalTok"/>
        </w:rPr>
        <w:t xml:space="preserve">  </w:t>
      </w:r>
      <w:r>
        <w:rPr>
          <w:rStyle w:val="DataTypeTok"/>
        </w:rPr>
        <w:t xml:space="preserve">"signature_algorithms"</w:t>
      </w:r>
      <w:r>
        <w:rPr>
          <w:rStyle w:val="FunctionTok"/>
        </w:rPr>
        <w:t xml:space="preserve">:</w:t>
      </w:r>
      <w:r>
        <w:rPr>
          <w:rStyle w:val="NormalTok"/>
        </w:rPr>
        <w:t xml:space="preserve"> </w:t>
      </w:r>
      <w:r>
        <w:rPr>
          <w:rStyle w:val="OtherTok"/>
        </w:rPr>
        <w:t xml:space="preserve">[</w:t>
      </w:r>
      <w:r>
        <w:rPr>
          <w:rStyle w:val="StringTok"/>
        </w:rPr>
        <w:t xml:space="preserve">"ECDSA-P256"</w:t>
      </w:r>
      <w:r>
        <w:rPr>
          <w:rStyle w:val="OtherTok"/>
        </w:rPr>
        <w:t xml:space="preserve">,</w:t>
      </w:r>
      <w:r>
        <w:rPr>
          <w:rStyle w:val="NormalTok"/>
        </w:rPr>
        <w:t xml:space="preserve"> </w:t>
      </w:r>
      <w:r>
        <w:rPr>
          <w:rStyle w:val="StringTok"/>
        </w:rPr>
        <w:t xml:space="preserve">"ML-DSA"</w:t>
      </w:r>
      <w:r>
        <w:rPr>
          <w:rStyle w:val="OtherTok"/>
        </w:rPr>
        <w:t xml:space="preserve">]</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"kronos-crypto-1.0"</w:t>
      </w:r>
      <w:r>
        <w:br/>
      </w:r>
      <w:r>
        <w:rPr>
          <w:rStyle w:val="FunctionTok"/>
        </w:rPr>
        <w:t xml:space="preserve">}</w:t>
      </w:r>
    </w:p>
    <w:p>
      <w:pPr>
        <w:pStyle w:val="FirstParagraph"/>
      </w:pPr>
      <w:r>
        <w:t xml:space="preserve">No confiar únicamente en nombres libres. La aplicación debe rechazar algoritmos desconocidos, obsoletos o prohibidos.</w:t>
      </w:r>
    </w:p>
    <w:bookmarkEnd w:id="36"/>
    <w:bookmarkEnd w:id="37"/>
    <w:bookmarkStart w:id="40" w:name="modelo-de-datos"/>
    <w:p>
      <w:pPr>
        <w:pStyle w:val="Heading1"/>
      </w:pPr>
      <w:r>
        <w:t xml:space="preserve">6. Modelo de datos</w:t>
      </w:r>
    </w:p>
    <w:bookmarkStart w:id="38" w:name="registro-de-certificado"/>
    <w:p>
      <w:pPr>
        <w:pStyle w:val="Heading2"/>
      </w:pPr>
      <w:r>
        <w:t xml:space="preserve">6.1 Registro de certificado</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"KRONOS-000001"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"document"</w:t>
      </w:r>
      <w:r>
        <w:rPr>
          <w:rStyle w:val="FunctionTok"/>
        </w:rPr>
        <w:t xml:space="preserve">,</w:t>
      </w:r>
      <w:r>
        <w:br/>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"DOC-000001"</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"canonicalization"</w:t>
      </w:r>
      <w:r>
        <w:rPr>
          <w:rStyle w:val="FunctionTok"/>
        </w:rPr>
        <w:t xml:space="preserve">:</w:t>
      </w:r>
      <w:r>
        <w:rPr>
          <w:rStyle w:val="NormalTok"/>
        </w:rPr>
        <w:t xml:space="preserve"> </w:t>
      </w:r>
      <w:r>
        <w:rPr>
          <w:rStyle w:val="StringTok"/>
        </w:rPr>
        <w:t xml:space="preserve">"kronos-c14n-1"</w:t>
      </w:r>
      <w:r>
        <w:rPr>
          <w:rStyle w:val="FunctionTok"/>
        </w:rPr>
        <w:t xml:space="preserve">,</w:t>
      </w:r>
      <w:r>
        <w:br/>
      </w:r>
      <w:r>
        <w:rPr>
          <w:rStyle w:val="NormalTok"/>
        </w:rPr>
        <w:t xml:space="preserve">    </w:t>
      </w:r>
      <w:r>
        <w:rPr>
          <w:rStyle w:val="DataTypeTok"/>
        </w:rPr>
        <w:t xml:space="preserve">"hash_algorithm"</w:t>
      </w:r>
      <w:r>
        <w:rPr>
          <w:rStyle w:val="FunctionTok"/>
        </w:rPr>
        <w:t xml:space="preserve">:</w:t>
      </w:r>
      <w:r>
        <w:rPr>
          <w:rStyle w:val="NormalTok"/>
        </w:rPr>
        <w:t xml:space="preserve"> </w:t>
      </w:r>
      <w:r>
        <w:rPr>
          <w:rStyle w:val="StringTok"/>
        </w:rPr>
        <w:t xml:space="preserve">"SHA3-512"</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"HEX_OR_BASE64_HASH"</w:t>
      </w:r>
      <w:r>
        <w:br/>
      </w:r>
      <w:r>
        <w:rPr>
          <w:rStyle w:val="NormalTok"/>
        </w:rPr>
        <w:t xml:space="preserve">  </w:t>
      </w:r>
      <w:r>
        <w:rPr>
          <w:rStyle w:val="FunctionTok"/>
        </w:rPr>
        <w:t xml:space="preserve">},</w:t>
      </w:r>
      <w:r>
        <w:br/>
      </w:r>
      <w:r>
        <w:rPr>
          <w:rStyle w:val="NormalTok"/>
        </w:rPr>
        <w:t xml:space="preserve">  </w:t>
      </w:r>
      <w:r>
        <w:rPr>
          <w:rStyle w:val="DataTypeTok"/>
        </w:rPr>
        <w:t xml:space="preserve">"signatures"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"ECDSA-P256"</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"key-classical-2026-01"</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"BASE64_SIGNATURE"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"transition"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"ML-DSA"</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"key-pqc-2026-01"</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"BASE64_SIGNATURE"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"post_quantum"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"issued_at"</w:t>
      </w:r>
      <w:r>
        <w:rPr>
          <w:rStyle w:val="FunctionTok"/>
        </w:rPr>
        <w:t xml:space="preserve">:</w:t>
      </w:r>
      <w:r>
        <w:rPr>
          <w:rStyle w:val="NormalTok"/>
        </w:rPr>
        <w:t xml:space="preserve"> </w:t>
      </w:r>
      <w:r>
        <w:rPr>
          <w:rStyle w:val="StringTok"/>
        </w:rPr>
        <w:t xml:space="preserve">"2026-08-21T20:00:00Z"</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"kronos-crypto-1.0"</w:t>
      </w:r>
      <w:r>
        <w:rPr>
          <w:rStyle w:val="FunctionTok"/>
        </w:rPr>
        <w:t xml:space="preserve">,</w:t>
      </w:r>
      <w:r>
        <w:br/>
      </w:r>
      <w:r>
        <w:rPr>
          <w:rStyle w:val="NormalTok"/>
        </w:rPr>
        <w:t xml:space="preserve">  </w:t>
      </w:r>
      <w:r>
        <w:rPr>
          <w:rStyle w:val="DataTypeTok"/>
        </w:rPr>
        <w:t xml:space="preserve">"timestamp_evidence"</w:t>
      </w:r>
      <w:r>
        <w:rPr>
          <w:rStyle w:val="FunctionTok"/>
        </w:rPr>
        <w:t xml:space="preserve">:</w:t>
      </w:r>
      <w:r>
        <w:rPr>
          <w:rStyle w:val="NormalTok"/>
        </w:rPr>
        <w:t xml:space="preserve"> </w:t>
      </w:r>
      <w:r>
        <w:rPr>
          <w:rStyle w:val="StringTok"/>
        </w:rPr>
        <w:t xml:space="preserve">"REFERENCE_TO_TIMESTAMP"</w:t>
      </w:r>
      <w:r>
        <w:rPr>
          <w:rStyle w:val="FunctionTok"/>
        </w:rPr>
        <w:t xml:space="preserve">,</w:t>
      </w:r>
      <w:r>
        <w:br/>
      </w:r>
      <w:r>
        <w:rPr>
          <w:rStyle w:val="NormalTok"/>
        </w:rPr>
        <w:t xml:space="preserve">  </w:t>
      </w:r>
      <w:r>
        <w:rPr>
          <w:rStyle w:val="DataTypeTok"/>
        </w:rPr>
        <w:t xml:space="preserve">"audit_event_id"</w:t>
      </w:r>
      <w:r>
        <w:rPr>
          <w:rStyle w:val="FunctionTok"/>
        </w:rPr>
        <w:t xml:space="preserve">:</w:t>
      </w:r>
      <w:r>
        <w:rPr>
          <w:rStyle w:val="NormalTok"/>
        </w:rPr>
        <w:t xml:space="preserve"> </w:t>
      </w:r>
      <w:r>
        <w:rPr>
          <w:rStyle w:val="StringTok"/>
        </w:rPr>
        <w:t xml:space="preserve">"AUD-000001"</w:t>
      </w:r>
      <w:r>
        <w:br/>
      </w:r>
      <w:r>
        <w:rPr>
          <w:rStyle w:val="FunctionTok"/>
        </w:rPr>
        <w:t xml:space="preserve">}</w:t>
      </w:r>
    </w:p>
    <w:bookmarkEnd w:id="38"/>
    <w:bookmarkStart w:id="39" w:name="reglas-de-inmutabilidad"/>
    <w:p>
      <w:pPr>
        <w:pStyle w:val="Heading2"/>
      </w:pPr>
      <w:r>
        <w:t xml:space="preserve">6.2 Reglas de inmutabilidad</w:t>
      </w:r>
    </w:p>
    <w:p>
      <w:pPr>
        <w:pStyle w:val="Compact"/>
        <w:numPr>
          <w:ilvl w:val="0"/>
          <w:numId w:val="1005"/>
        </w:numPr>
      </w:pPr>
      <w:r>
        <w:rPr>
          <w:rStyle w:val="VerbatimChar"/>
        </w:rPr>
        <w:t xml:space="preserve">record_id</w:t>
      </w:r>
      <w:r>
        <w:t xml:space="preserve"> </w:t>
      </w:r>
      <w:r>
        <w:t xml:space="preserve">no cambia.</w:t>
      </w:r>
    </w:p>
    <w:p>
      <w:pPr>
        <w:pStyle w:val="Compact"/>
        <w:numPr>
          <w:ilvl w:val="0"/>
          <w:numId w:val="1005"/>
        </w:numPr>
      </w:pPr>
      <w:r>
        <w:t xml:space="preserve">El hash original no se reemplaza.</w:t>
      </w:r>
    </w:p>
    <w:p>
      <w:pPr>
        <w:pStyle w:val="Compact"/>
        <w:numPr>
          <w:ilvl w:val="0"/>
          <w:numId w:val="1005"/>
        </w:numPr>
      </w:pPr>
      <w:r>
        <w:t xml:space="preserve">Una nueva firma se añade como evento de migración.</w:t>
      </w:r>
    </w:p>
    <w:p>
      <w:pPr>
        <w:pStyle w:val="Compact"/>
        <w:numPr>
          <w:ilvl w:val="0"/>
          <w:numId w:val="1005"/>
        </w:numPr>
      </w:pPr>
      <w:r>
        <w:t xml:space="preserve">Los cambios de metadatos no deben confundirse con cambios del contenido.</w:t>
      </w:r>
    </w:p>
    <w:p>
      <w:pPr>
        <w:pStyle w:val="Compact"/>
        <w:numPr>
          <w:ilvl w:val="0"/>
          <w:numId w:val="1005"/>
        </w:numPr>
      </w:pPr>
      <w:r>
        <w:t xml:space="preserve">Todo cambio debe incluir actor, fecha UTC, motivo y resultado.</w:t>
      </w:r>
    </w:p>
    <w:bookmarkEnd w:id="39"/>
    <w:bookmarkEnd w:id="40"/>
    <w:bookmarkStart w:id="47" w:name="fases-de-migración"/>
    <w:p>
      <w:pPr>
        <w:pStyle w:val="Heading1"/>
      </w:pPr>
      <w:r>
        <w:t xml:space="preserve">7. Fases de migración</w:t>
      </w:r>
    </w:p>
    <w:bookmarkStart w:id="41" w:name="fase-0-gobierno-y-preparación"/>
    <w:p>
      <w:pPr>
        <w:pStyle w:val="Heading2"/>
      </w:pPr>
      <w:r>
        <w:t xml:space="preserve">Fase 0 — Gobierno y preparación</w:t>
      </w:r>
    </w:p>
    <w:p>
      <w:pPr>
        <w:pStyle w:val="FirstParagraph"/>
      </w:pPr>
      <w:r>
        <w:rPr>
          <w:b/>
          <w:bCs/>
        </w:rPr>
        <w:t xml:space="preserve">Objetivo:</w:t>
      </w:r>
      <w:r>
        <w:t xml:space="preserve"> </w:t>
      </w:r>
      <w:r>
        <w:t xml:space="preserve">aprobar alcance, responsables y criterios de éxito.</w:t>
      </w:r>
    </w:p>
    <w:p>
      <w:pPr>
        <w:pStyle w:val="BodyText"/>
      </w:pPr>
      <w:r>
        <w:t xml:space="preserve">Actividades:</w:t>
      </w:r>
    </w:p>
    <w:p>
      <w:pPr>
        <w:pStyle w:val="Compact"/>
        <w:numPr>
          <w:ilvl w:val="0"/>
          <w:numId w:val="1006"/>
        </w:numPr>
      </w:pPr>
      <w:r>
        <w:t xml:space="preserve">Nombrar propietario de seguridad.</w:t>
      </w:r>
    </w:p>
    <w:p>
      <w:pPr>
        <w:pStyle w:val="Compact"/>
        <w:numPr>
          <w:ilvl w:val="0"/>
          <w:numId w:val="1006"/>
        </w:numPr>
      </w:pPr>
      <w:r>
        <w:t xml:space="preserve">Crear comité técnico, legal y de operaciones.</w:t>
      </w:r>
    </w:p>
    <w:p>
      <w:pPr>
        <w:pStyle w:val="Compact"/>
        <w:numPr>
          <w:ilvl w:val="0"/>
          <w:numId w:val="1006"/>
        </w:numPr>
      </w:pPr>
      <w:r>
        <w:t xml:space="preserve">Aprobar la política criptográfica.</w:t>
      </w:r>
    </w:p>
    <w:p>
      <w:pPr>
        <w:pStyle w:val="Compact"/>
        <w:numPr>
          <w:ilvl w:val="0"/>
          <w:numId w:val="1006"/>
        </w:numPr>
      </w:pPr>
      <w:r>
        <w:t xml:space="preserve">Definir clasificación de registros.</w:t>
      </w:r>
    </w:p>
    <w:p>
      <w:pPr>
        <w:pStyle w:val="Compact"/>
        <w:numPr>
          <w:ilvl w:val="0"/>
          <w:numId w:val="1006"/>
        </w:numPr>
      </w:pPr>
      <w:r>
        <w:t xml:space="preserve">Establecer RTO/RPO y procedimiento de incidentes.</w:t>
      </w:r>
    </w:p>
    <w:p>
      <w:pPr>
        <w:pStyle w:val="Compact"/>
        <w:numPr>
          <w:ilvl w:val="0"/>
          <w:numId w:val="1006"/>
        </w:numPr>
      </w:pPr>
      <w:r>
        <w:t xml:space="preserve">Registrar dependencias y proveedores.</w:t>
      </w:r>
    </w:p>
    <w:p>
      <w:pPr>
        <w:pStyle w:val="FirstParagraph"/>
      </w:pPr>
      <w:r>
        <w:rPr>
          <w:b/>
          <w:bCs/>
        </w:rPr>
        <w:t xml:space="preserve">Salida:</w:t>
      </w:r>
      <w:r>
        <w:t xml:space="preserve"> </w:t>
      </w:r>
      <w:r>
        <w:t xml:space="preserve">acta de aprobación, matriz RACI y política versión 1.0.</w:t>
      </w:r>
    </w:p>
    <w:bookmarkEnd w:id="41"/>
    <w:bookmarkStart w:id="42" w:name="fase-1-inventario-criptográfico"/>
    <w:p>
      <w:pPr>
        <w:pStyle w:val="Heading2"/>
      </w:pPr>
      <w:r>
        <w:t xml:space="preserve">Fase 1 — Inventario criptográfico</w:t>
      </w:r>
    </w:p>
    <w:p>
      <w:pPr>
        <w:pStyle w:val="FirstParagraph"/>
      </w:pPr>
      <w:r>
        <w:t xml:space="preserve">Inventariar:</w:t>
      </w:r>
    </w:p>
    <w:p>
      <w:pPr>
        <w:pStyle w:val="Compact"/>
        <w:numPr>
          <w:ilvl w:val="0"/>
          <w:numId w:val="1007"/>
        </w:numPr>
      </w:pPr>
      <w:r>
        <w:t xml:space="preserve">Hashes usados.</w:t>
      </w:r>
    </w:p>
    <w:p>
      <w:pPr>
        <w:pStyle w:val="Compact"/>
        <w:numPr>
          <w:ilvl w:val="0"/>
          <w:numId w:val="1007"/>
        </w:numPr>
      </w:pPr>
      <w:r>
        <w:t xml:space="preserve">Algoritmos de firma.</w:t>
      </w:r>
    </w:p>
    <w:p>
      <w:pPr>
        <w:pStyle w:val="Compact"/>
        <w:numPr>
          <w:ilvl w:val="0"/>
          <w:numId w:val="1007"/>
        </w:numPr>
      </w:pPr>
      <w:r>
        <w:t xml:space="preserve">Certificados y autoridades.</w:t>
      </w:r>
    </w:p>
    <w:p>
      <w:pPr>
        <w:pStyle w:val="Compact"/>
        <w:numPr>
          <w:ilvl w:val="0"/>
          <w:numId w:val="1007"/>
        </w:numPr>
      </w:pPr>
      <w:r>
        <w:t xml:space="preserve">Claves públicas y privadas.</w:t>
      </w:r>
    </w:p>
    <w:p>
      <w:pPr>
        <w:pStyle w:val="Compact"/>
        <w:numPr>
          <w:ilvl w:val="0"/>
          <w:numId w:val="1007"/>
        </w:numPr>
      </w:pPr>
      <w:r>
        <w:t xml:space="preserve">Protocolos TLS.</w:t>
      </w:r>
    </w:p>
    <w:p>
      <w:pPr>
        <w:pStyle w:val="Compact"/>
        <w:numPr>
          <w:ilvl w:val="0"/>
          <w:numId w:val="1007"/>
        </w:numPr>
      </w:pPr>
      <w:r>
        <w:t xml:space="preserve">Bibliotecas y versiones.</w:t>
      </w:r>
    </w:p>
    <w:p>
      <w:pPr>
        <w:pStyle w:val="Compact"/>
        <w:numPr>
          <w:ilvl w:val="0"/>
          <w:numId w:val="1007"/>
        </w:numPr>
      </w:pPr>
      <w:r>
        <w:t xml:space="preserve">Datos históricos.</w:t>
      </w:r>
    </w:p>
    <w:p>
      <w:pPr>
        <w:pStyle w:val="Compact"/>
        <w:numPr>
          <w:ilvl w:val="0"/>
          <w:numId w:val="1007"/>
        </w:numPr>
      </w:pPr>
      <w:r>
        <w:t xml:space="preserve">Integraciones externas.</w:t>
      </w:r>
    </w:p>
    <w:p>
      <w:pPr>
        <w:pStyle w:val="Compact"/>
        <w:numPr>
          <w:ilvl w:val="0"/>
          <w:numId w:val="1007"/>
        </w:numPr>
      </w:pPr>
      <w:r>
        <w:t xml:space="preserve">Algoritmos codificados en aplicaciones, scripts o dispositivos.</w:t>
      </w:r>
    </w:p>
    <w:p>
      <w:pPr>
        <w:pStyle w:val="FirstParagraph"/>
      </w:pPr>
      <w:r>
        <w:t xml:space="preserve">Tabla mínima: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Activo</w:t>
            </w:r>
          </w:p>
        </w:tc>
        <w:tc>
          <w:tcPr/>
          <w:p>
            <w:pPr>
              <w:pStyle w:val="Compact"/>
              <w:jc w:val="left"/>
            </w:pPr>
            <w:r>
              <w:t xml:space="preserve">Algoritmo</w:t>
            </w:r>
          </w:p>
        </w:tc>
        <w:tc>
          <w:tcPr/>
          <w:p>
            <w:pPr>
              <w:pStyle w:val="Compact"/>
              <w:jc w:val="left"/>
            </w:pPr>
            <w:r>
              <w:t xml:space="preserve">Propietario</w:t>
            </w:r>
          </w:p>
        </w:tc>
        <w:tc>
          <w:tcPr/>
          <w:p>
            <w:pPr>
              <w:pStyle w:val="Compact"/>
              <w:jc w:val="left"/>
            </w:pPr>
            <w:r>
              <w:t xml:space="preserve">Vida útil</w:t>
            </w:r>
          </w:p>
        </w:tc>
        <w:tc>
          <w:tcPr/>
          <w:p>
            <w:pPr>
              <w:pStyle w:val="Compact"/>
              <w:jc w:val="left"/>
            </w:pPr>
            <w:r>
              <w:t xml:space="preserve">Riesgo</w:t>
            </w:r>
          </w:p>
        </w:tc>
        <w:tc>
          <w:tcPr/>
          <w:p>
            <w:pPr>
              <w:pStyle w:val="Compact"/>
              <w:jc w:val="left"/>
            </w:pPr>
            <w:r>
              <w:t xml:space="preserve">Acción</w:t>
            </w:r>
          </w:p>
        </w:tc>
      </w:tr>
      <w:tr>
        <w:tc>
          <w:tcPr/>
          <w:p>
            <w:pPr>
              <w:pStyle w:val="Compact"/>
              <w:jc w:val="left"/>
            </w:pPr>
            <w:r>
              <w:t xml:space="preserve">Firma de folios</w:t>
            </w:r>
          </w:p>
        </w:tc>
        <w:tc>
          <w:tcPr/>
          <w:p>
            <w:pPr>
              <w:pStyle w:val="Compact"/>
              <w:jc w:val="left"/>
            </w:pPr>
            <w:r>
              <w:t xml:space="preserve">ECDSA</w:t>
            </w:r>
          </w:p>
        </w:tc>
        <w:tc>
          <w:tcPr/>
          <w:p>
            <w:pPr>
              <w:pStyle w:val="Compact"/>
              <w:jc w:val="left"/>
            </w:pPr>
            <w:r>
              <w:t xml:space="preserve">Plataforma</w:t>
            </w:r>
          </w:p>
        </w:tc>
        <w:tc>
          <w:tcPr/>
          <w:p>
            <w:pPr>
              <w:pStyle w:val="Compact"/>
              <w:jc w:val="left"/>
            </w:pPr>
            <w:r>
              <w:t xml:space="preserve">Largo plazo</w:t>
            </w:r>
          </w:p>
        </w:tc>
        <w:tc>
          <w:tcPr/>
          <w:p>
            <w:pPr>
              <w:pStyle w:val="Compact"/>
              <w:jc w:val="left"/>
            </w:pPr>
            <w:r>
              <w:t xml:space="preserve">Medio/alto</w:t>
            </w:r>
          </w:p>
        </w:tc>
        <w:tc>
          <w:tcPr/>
          <w:p>
            <w:pPr>
              <w:pStyle w:val="Compact"/>
              <w:jc w:val="left"/>
            </w:pPr>
            <w:r>
              <w:t xml:space="preserve">Híbrida</w:t>
            </w:r>
          </w:p>
        </w:tc>
      </w:tr>
      <w:tr>
        <w:tc>
          <w:tcPr/>
          <w:p>
            <w:pPr>
              <w:pStyle w:val="Compact"/>
              <w:jc w:val="left"/>
            </w:pPr>
            <w:r>
              <w:t xml:space="preserve">Hash de documentos</w:t>
            </w:r>
          </w:p>
        </w:tc>
        <w:tc>
          <w:tcPr/>
          <w:p>
            <w:pPr>
              <w:pStyle w:val="Compact"/>
              <w:jc w:val="left"/>
            </w:pPr>
            <w:r>
              <w:t xml:space="preserve">SHA3-512</w:t>
            </w:r>
          </w:p>
        </w:tc>
        <w:tc>
          <w:tcPr/>
          <w:p>
            <w:pPr>
              <w:pStyle w:val="Compact"/>
              <w:jc w:val="left"/>
            </w:pPr>
            <w:r>
              <w:t xml:space="preserve">Evidencias</w:t>
            </w:r>
          </w:p>
        </w:tc>
        <w:tc>
          <w:tcPr/>
          <w:p>
            <w:pPr>
              <w:pStyle w:val="Compact"/>
              <w:jc w:val="left"/>
            </w:pPr>
            <w:r>
              <w:t xml:space="preserve">Largo plazo</w:t>
            </w:r>
          </w:p>
        </w:tc>
        <w:tc>
          <w:tcPr/>
          <w:p>
            <w:pPr>
              <w:pStyle w:val="Compact"/>
              <w:jc w:val="left"/>
            </w:pPr>
            <w:r>
              <w:t xml:space="preserve">Bajo</w:t>
            </w:r>
          </w:p>
        </w:tc>
        <w:tc>
          <w:tcPr/>
          <w:p>
            <w:pPr>
              <w:pStyle w:val="Compact"/>
              <w:jc w:val="left"/>
            </w:pPr>
            <w:r>
              <w:t xml:space="preserve">Mantener</w:t>
            </w:r>
          </w:p>
        </w:tc>
      </w:tr>
      <w:tr>
        <w:tc>
          <w:tcPr/>
          <w:p>
            <w:pPr>
              <w:pStyle w:val="Compact"/>
              <w:jc w:val="left"/>
            </w:pPr>
            <w:r>
              <w:t xml:space="preserve">API externa</w:t>
            </w:r>
          </w:p>
        </w:tc>
        <w:tc>
          <w:tcPr/>
          <w:p>
            <w:pPr>
              <w:pStyle w:val="Compact"/>
              <w:jc w:val="left"/>
            </w:pPr>
            <w:r>
              <w:t xml:space="preserve">TLS</w:t>
            </w:r>
          </w:p>
        </w:tc>
        <w:tc>
          <w:tcPr/>
          <w:p>
            <w:pPr>
              <w:pStyle w:val="Compact"/>
              <w:jc w:val="left"/>
            </w:pPr>
            <w:r>
              <w:t xml:space="preserve">Infraestructura</w:t>
            </w:r>
          </w:p>
        </w:tc>
        <w:tc>
          <w:tcPr/>
          <w:p>
            <w:pPr>
              <w:pStyle w:val="Compact"/>
              <w:jc w:val="left"/>
            </w:pPr>
            <w:r>
              <w:t xml:space="preserve">Continua</w:t>
            </w:r>
          </w:p>
        </w:tc>
        <w:tc>
          <w:tcPr/>
          <w:p>
            <w:pPr>
              <w:pStyle w:val="Compact"/>
              <w:jc w:val="left"/>
            </w:pPr>
            <w:r>
              <w:t xml:space="preserve">Revisar</w:t>
            </w:r>
          </w:p>
        </w:tc>
        <w:tc>
          <w:tcPr/>
          <w:p>
            <w:pPr>
              <w:pStyle w:val="Compact"/>
              <w:jc w:val="left"/>
            </w:pPr>
            <w:r>
              <w:t xml:space="preserve">Actualizar</w:t>
            </w:r>
          </w:p>
        </w:tc>
      </w:tr>
    </w:tbl>
    <w:bookmarkEnd w:id="42"/>
    <w:bookmarkStart w:id="43" w:name="fase-2-diseño-y-laboratorio"/>
    <w:p>
      <w:pPr>
        <w:pStyle w:val="Heading2"/>
      </w:pPr>
      <w:r>
        <w:t xml:space="preserve">Fase 2 — Diseño y laboratorio</w:t>
      </w:r>
    </w:p>
    <w:p>
      <w:pPr>
        <w:pStyle w:val="Compact"/>
        <w:numPr>
          <w:ilvl w:val="0"/>
          <w:numId w:val="1008"/>
        </w:numPr>
      </w:pPr>
      <w:r>
        <w:t xml:space="preserve">Definir canonización.</w:t>
      </w:r>
    </w:p>
    <w:p>
      <w:pPr>
        <w:pStyle w:val="Compact"/>
        <w:numPr>
          <w:ilvl w:val="0"/>
          <w:numId w:val="1008"/>
        </w:numPr>
      </w:pPr>
      <w:r>
        <w:t xml:space="preserve">Crear adaptadores criptográficos.</w:t>
      </w:r>
    </w:p>
    <w:p>
      <w:pPr>
        <w:pStyle w:val="Compact"/>
        <w:numPr>
          <w:ilvl w:val="0"/>
          <w:numId w:val="1008"/>
        </w:numPr>
      </w:pPr>
      <w:r>
        <w:t xml:space="preserve">Seleccionar bibliotecas mantenidas.</w:t>
      </w:r>
    </w:p>
    <w:p>
      <w:pPr>
        <w:pStyle w:val="Compact"/>
        <w:numPr>
          <w:ilvl w:val="0"/>
          <w:numId w:val="1008"/>
        </w:numPr>
      </w:pPr>
      <w:r>
        <w:t xml:space="preserve">Probar generación y verificación de ML-DSA.</w:t>
      </w:r>
    </w:p>
    <w:p>
      <w:pPr>
        <w:pStyle w:val="Compact"/>
        <w:numPr>
          <w:ilvl w:val="0"/>
          <w:numId w:val="1008"/>
        </w:numPr>
      </w:pPr>
      <w:r>
        <w:t xml:space="preserve">Medir tamaño de claves, firmas, latencia y almacenamiento.</w:t>
      </w:r>
    </w:p>
    <w:p>
      <w:pPr>
        <w:pStyle w:val="Compact"/>
        <w:numPr>
          <w:ilvl w:val="0"/>
          <w:numId w:val="1008"/>
        </w:numPr>
      </w:pPr>
      <w:r>
        <w:t xml:space="preserve">Probar interoperabilidad entre lenguajes y servicios.</w:t>
      </w:r>
    </w:p>
    <w:p>
      <w:pPr>
        <w:pStyle w:val="Compact"/>
        <w:numPr>
          <w:ilvl w:val="0"/>
          <w:numId w:val="1008"/>
        </w:numPr>
      </w:pPr>
      <w:r>
        <w:t xml:space="preserve">Crear vectores de prueba fijos.</w:t>
      </w:r>
    </w:p>
    <w:p>
      <w:pPr>
        <w:pStyle w:val="FirstParagraph"/>
      </w:pPr>
      <w:r>
        <w:rPr>
          <w:b/>
          <w:bCs/>
        </w:rPr>
        <w:t xml:space="preserve">Criterio de salida:</w:t>
      </w:r>
      <w:r>
        <w:t xml:space="preserve"> </w:t>
      </w:r>
      <w:r>
        <w:t xml:space="preserve">dos implementaciones independientes, o una implementación revisada y pruebas reproducibles, verifican los mismos vectores.</w:t>
      </w:r>
    </w:p>
    <w:bookmarkEnd w:id="43"/>
    <w:bookmarkStart w:id="44" w:name="fase-3-habilitación-híbrida"/>
    <w:p>
      <w:pPr>
        <w:pStyle w:val="Heading2"/>
      </w:pPr>
      <w:r>
        <w:t xml:space="preserve">Fase 3 — Habilitación híbrida</w:t>
      </w:r>
    </w:p>
    <w:p>
      <w:pPr>
        <w:pStyle w:val="FirstParagraph"/>
      </w:pPr>
      <w:r>
        <w:t xml:space="preserve">Durante esta fase, los nuevos certificados incluyen firma clásica y poscuántica. La verificación debe aplicar la política correspondiente a la fecha y al nivel de riesgo.</w:t>
      </w:r>
    </w:p>
    <w:p>
      <w:pPr>
        <w:pStyle w:val="BodyText"/>
      </w:pPr>
      <w:r>
        <w:t xml:space="preserve">Política recomendada:</w:t>
      </w:r>
    </w:p>
    <w:p>
      <w:pPr>
        <w:pStyle w:val="Compact"/>
        <w:numPr>
          <w:ilvl w:val="0"/>
          <w:numId w:val="1009"/>
        </w:numPr>
      </w:pPr>
      <w:r>
        <w:t xml:space="preserve">Registros nuevos: ambas firmas obligatorias.</w:t>
      </w:r>
    </w:p>
    <w:p>
      <w:pPr>
        <w:pStyle w:val="Compact"/>
        <w:numPr>
          <w:ilvl w:val="0"/>
          <w:numId w:val="1009"/>
        </w:numPr>
      </w:pPr>
      <w:r>
        <w:t xml:space="preserve">Registros antiguos: verificar firma histórica y hash original.</w:t>
      </w:r>
    </w:p>
    <w:p>
      <w:pPr>
        <w:pStyle w:val="Compact"/>
        <w:numPr>
          <w:ilvl w:val="0"/>
          <w:numId w:val="1009"/>
        </w:numPr>
      </w:pPr>
      <w:r>
        <w:t xml:space="preserve">Registros críticos: exigir firma poscuántica válida para renovación.</w:t>
      </w:r>
    </w:p>
    <w:p>
      <w:pPr>
        <w:pStyle w:val="Compact"/>
        <w:numPr>
          <w:ilvl w:val="0"/>
          <w:numId w:val="1009"/>
        </w:numPr>
      </w:pPr>
      <w:r>
        <w:t xml:space="preserve">Registros no críticos: migrar por lotes priorizados.</w:t>
      </w:r>
    </w:p>
    <w:bookmarkEnd w:id="44"/>
    <w:bookmarkStart w:id="45" w:name="fase-4-migración-de-históricos"/>
    <w:p>
      <w:pPr>
        <w:pStyle w:val="Heading2"/>
      </w:pPr>
      <w:r>
        <w:t xml:space="preserve">Fase 4 — Migración de históricos</w:t>
      </w:r>
    </w:p>
    <w:p>
      <w:pPr>
        <w:pStyle w:val="FirstParagraph"/>
      </w:pPr>
      <w:r>
        <w:t xml:space="preserve">No se debe recalcular una firma como si hubiera sido creada en el pasado. Se debe crear una</w:t>
      </w:r>
      <w:r>
        <w:t xml:space="preserve"> </w:t>
      </w:r>
      <w:r>
        <w:rPr>
          <w:b/>
          <w:bCs/>
        </w:rPr>
        <w:t xml:space="preserve">evidencia de migración</w:t>
      </w:r>
      <w:r>
        <w:t xml:space="preserve"> </w:t>
      </w:r>
      <w:r>
        <w:t xml:space="preserve">que contenga:</w:t>
      </w:r>
    </w:p>
    <w:p>
      <w:pPr>
        <w:pStyle w:val="Compact"/>
        <w:numPr>
          <w:ilvl w:val="0"/>
          <w:numId w:val="1010"/>
        </w:numPr>
      </w:pPr>
      <w:r>
        <w:t xml:space="preserve">Identificador del registro histórico.</w:t>
      </w:r>
    </w:p>
    <w:p>
      <w:pPr>
        <w:pStyle w:val="Compact"/>
        <w:numPr>
          <w:ilvl w:val="0"/>
          <w:numId w:val="1010"/>
        </w:numPr>
      </w:pPr>
      <w:r>
        <w:t xml:space="preserve">Hash histórico.</w:t>
      </w:r>
    </w:p>
    <w:p>
      <w:pPr>
        <w:pStyle w:val="Compact"/>
        <w:numPr>
          <w:ilvl w:val="0"/>
          <w:numId w:val="1010"/>
        </w:numPr>
      </w:pPr>
      <w:r>
        <w:t xml:space="preserve">Referencia a la firma original.</w:t>
      </w:r>
    </w:p>
    <w:p>
      <w:pPr>
        <w:pStyle w:val="Compact"/>
        <w:numPr>
          <w:ilvl w:val="0"/>
          <w:numId w:val="1010"/>
        </w:numPr>
      </w:pPr>
      <w:r>
        <w:t xml:space="preserve">Fecha real de migración.</w:t>
      </w:r>
    </w:p>
    <w:p>
      <w:pPr>
        <w:pStyle w:val="Compact"/>
        <w:numPr>
          <w:ilvl w:val="0"/>
          <w:numId w:val="1010"/>
        </w:numPr>
      </w:pPr>
      <w:r>
        <w:t xml:space="preserve">Nueva firma sobre la evidencia.</w:t>
      </w:r>
    </w:p>
    <w:p>
      <w:pPr>
        <w:pStyle w:val="Compact"/>
        <w:numPr>
          <w:ilvl w:val="0"/>
          <w:numId w:val="1010"/>
        </w:numPr>
      </w:pPr>
      <w:r>
        <w:t xml:space="preserve">Motivo y responsable.</w:t>
      </w:r>
    </w:p>
    <w:p>
      <w:pPr>
        <w:pStyle w:val="FirstParagraph"/>
      </w:pPr>
      <w:r>
        <w:t xml:space="preserve">Ejemplo conceptual:</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"cryptographic_migration"</w:t>
      </w:r>
      <w:r>
        <w:rPr>
          <w:rStyle w:val="FunctionTok"/>
        </w:rPr>
        <w:t xml:space="preserve">,</w:t>
      </w:r>
      <w:r>
        <w:br/>
      </w:r>
      <w:r>
        <w:rPr>
          <w:rStyle w:val="NormalTok"/>
        </w:rPr>
        <w:t xml:space="preserve">  </w:t>
      </w:r>
      <w:r>
        <w:rPr>
          <w:rStyle w:val="DataTypeTok"/>
        </w:rPr>
        <w:t xml:space="preserve">"original_record_id"</w:t>
      </w:r>
      <w:r>
        <w:rPr>
          <w:rStyle w:val="FunctionTok"/>
        </w:rPr>
        <w:t xml:space="preserve">:</w:t>
      </w:r>
      <w:r>
        <w:rPr>
          <w:rStyle w:val="NormalTok"/>
        </w:rPr>
        <w:t xml:space="preserve"> </w:t>
      </w:r>
      <w:r>
        <w:rPr>
          <w:rStyle w:val="StringTok"/>
        </w:rPr>
        <w:t xml:space="preserve">"KRONOS-000001"</w:t>
      </w:r>
      <w:r>
        <w:rPr>
          <w:rStyle w:val="FunctionTok"/>
        </w:rPr>
        <w:t xml:space="preserve">,</w:t>
      </w:r>
      <w:r>
        <w:br/>
      </w:r>
      <w:r>
        <w:rPr>
          <w:rStyle w:val="NormalTok"/>
        </w:rPr>
        <w:t xml:space="preserve">  </w:t>
      </w:r>
      <w:r>
        <w:rPr>
          <w:rStyle w:val="DataTypeTok"/>
        </w:rPr>
        <w:t xml:space="preserve">"original_hash"</w:t>
      </w:r>
      <w:r>
        <w:rPr>
          <w:rStyle w:val="FunctionTok"/>
        </w:rPr>
        <w:t xml:space="preserve">:</w:t>
      </w:r>
      <w:r>
        <w:rPr>
          <w:rStyle w:val="NormalTok"/>
        </w:rPr>
        <w:t xml:space="preserve"> </w:t>
      </w:r>
      <w:r>
        <w:rPr>
          <w:rStyle w:val="StringTok"/>
        </w:rPr>
        <w:t xml:space="preserve">"HASH_HISTORICO"</w:t>
      </w:r>
      <w:r>
        <w:rPr>
          <w:rStyle w:val="FunctionTok"/>
        </w:rPr>
        <w:t xml:space="preserve">,</w:t>
      </w:r>
      <w:r>
        <w:br/>
      </w:r>
      <w:r>
        <w:rPr>
          <w:rStyle w:val="NormalTok"/>
        </w:rPr>
        <w:t xml:space="preserve">  </w:t>
      </w:r>
      <w:r>
        <w:rPr>
          <w:rStyle w:val="DataTypeTok"/>
        </w:rPr>
        <w:t xml:space="preserve">"original_signature_reference"</w:t>
      </w:r>
      <w:r>
        <w:rPr>
          <w:rStyle w:val="FunctionTok"/>
        </w:rPr>
        <w:t xml:space="preserve">:</w:t>
      </w:r>
      <w:r>
        <w:rPr>
          <w:rStyle w:val="NormalTok"/>
        </w:rPr>
        <w:t xml:space="preserve"> </w:t>
      </w:r>
      <w:r>
        <w:rPr>
          <w:rStyle w:val="StringTok"/>
        </w:rPr>
        <w:t xml:space="preserve">"SIG-OLD-0001"</w:t>
      </w:r>
      <w:r>
        <w:rPr>
          <w:rStyle w:val="FunctionTok"/>
        </w:rPr>
        <w:t xml:space="preserve">,</w:t>
      </w:r>
      <w:r>
        <w:br/>
      </w:r>
      <w:r>
        <w:rPr>
          <w:rStyle w:val="NormalTok"/>
        </w:rPr>
        <w:t xml:space="preserve">  </w:t>
      </w:r>
      <w:r>
        <w:rPr>
          <w:rStyle w:val="DataTypeTok"/>
        </w:rPr>
        <w:t xml:space="preserve">"migrated_at"</w:t>
      </w:r>
      <w:r>
        <w:rPr>
          <w:rStyle w:val="FunctionTok"/>
        </w:rPr>
        <w:t xml:space="preserve">:</w:t>
      </w:r>
      <w:r>
        <w:rPr>
          <w:rStyle w:val="NormalTok"/>
        </w:rPr>
        <w:t xml:space="preserve"> </w:t>
      </w:r>
      <w:r>
        <w:rPr>
          <w:rStyle w:val="StringTok"/>
        </w:rPr>
        <w:t xml:space="preserve">"2027-01-15T10:30:00Z"</w:t>
      </w:r>
      <w:r>
        <w:rPr>
          <w:rStyle w:val="FunctionTok"/>
        </w:rPr>
        <w:t xml:space="preserve">,</w:t>
      </w:r>
      <w:r>
        <w:br/>
      </w:r>
      <w:r>
        <w:rPr>
          <w:rStyle w:val="NormalTok"/>
        </w:rPr>
        <w:t xml:space="preserve">  </w:t>
      </w:r>
      <w:r>
        <w:rPr>
          <w:rStyle w:val="DataTypeTok"/>
        </w:rPr>
        <w:t xml:space="preserve">"new_algorithm"</w:t>
      </w:r>
      <w:r>
        <w:rPr>
          <w:rStyle w:val="FunctionTok"/>
        </w:rPr>
        <w:t xml:space="preserve">:</w:t>
      </w:r>
      <w:r>
        <w:rPr>
          <w:rStyle w:val="NormalTok"/>
        </w:rPr>
        <w:t xml:space="preserve"> </w:t>
      </w:r>
      <w:r>
        <w:rPr>
          <w:rStyle w:val="StringTok"/>
        </w:rPr>
        <w:t xml:space="preserve">"ML-DSA"</w:t>
      </w:r>
      <w:r>
        <w:rPr>
          <w:rStyle w:val="FunctionTok"/>
        </w:rPr>
        <w:t xml:space="preserve">,</w:t>
      </w:r>
      <w:r>
        <w:br/>
      </w:r>
      <w:r>
        <w:rPr>
          <w:rStyle w:val="NormalTok"/>
        </w:rPr>
        <w:t xml:space="preserve">  </w:t>
      </w:r>
      <w:r>
        <w:rPr>
          <w:rStyle w:val="DataTypeTok"/>
        </w:rPr>
        <w:t xml:space="preserve">"new_signature"</w:t>
      </w:r>
      <w:r>
        <w:rPr>
          <w:rStyle w:val="FunctionTok"/>
        </w:rPr>
        <w:t xml:space="preserve">:</w:t>
      </w:r>
      <w:r>
        <w:rPr>
          <w:rStyle w:val="NormalTok"/>
        </w:rPr>
        <w:t xml:space="preserve"> </w:t>
      </w:r>
      <w:r>
        <w:rPr>
          <w:rStyle w:val="StringTok"/>
        </w:rPr>
        <w:t xml:space="preserve">"BASE64_SIGNATURE"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"migration-service"</w:t>
      </w:r>
      <w:r>
        <w:br/>
      </w:r>
      <w:r>
        <w:rPr>
          <w:rStyle w:val="FunctionTok"/>
        </w:rPr>
        <w:t xml:space="preserve">}</w:t>
      </w:r>
    </w:p>
    <w:bookmarkEnd w:id="45"/>
    <w:bookmarkStart w:id="46" w:name="fase-5-operación-y-retiro-controlado"/>
    <w:p>
      <w:pPr>
        <w:pStyle w:val="Heading2"/>
      </w:pPr>
      <w:r>
        <w:t xml:space="preserve">Fase 5 — Operación y retiro controlado</w:t>
      </w:r>
    </w:p>
    <w:p>
      <w:pPr>
        <w:pStyle w:val="Compact"/>
        <w:numPr>
          <w:ilvl w:val="0"/>
          <w:numId w:val="1011"/>
        </w:numPr>
      </w:pPr>
      <w:r>
        <w:t xml:space="preserve">Monitorear tasas de verificación.</w:t>
      </w:r>
    </w:p>
    <w:p>
      <w:pPr>
        <w:pStyle w:val="Compact"/>
        <w:numPr>
          <w:ilvl w:val="0"/>
          <w:numId w:val="1011"/>
        </w:numPr>
      </w:pPr>
      <w:r>
        <w:t xml:space="preserve">Publicar fechas de fin de soporte.</w:t>
      </w:r>
    </w:p>
    <w:p>
      <w:pPr>
        <w:pStyle w:val="Compact"/>
        <w:numPr>
          <w:ilvl w:val="0"/>
          <w:numId w:val="1011"/>
        </w:numPr>
      </w:pPr>
      <w:r>
        <w:t xml:space="preserve">Mantener lectura de algoritmos históricos durante el periodo definido.</w:t>
      </w:r>
    </w:p>
    <w:p>
      <w:pPr>
        <w:pStyle w:val="Compact"/>
        <w:numPr>
          <w:ilvl w:val="0"/>
          <w:numId w:val="1011"/>
        </w:numPr>
      </w:pPr>
      <w:r>
        <w:t xml:space="preserve">Deshabilitar creación de nuevas firmas con algoritmos obsoletos.</w:t>
      </w:r>
    </w:p>
    <w:p>
      <w:pPr>
        <w:pStyle w:val="Compact"/>
        <w:numPr>
          <w:ilvl w:val="0"/>
          <w:numId w:val="1011"/>
        </w:numPr>
      </w:pPr>
      <w:r>
        <w:t xml:space="preserve">Revocar claves comprometidas.</w:t>
      </w:r>
    </w:p>
    <w:p>
      <w:pPr>
        <w:pStyle w:val="Compact"/>
        <w:numPr>
          <w:ilvl w:val="0"/>
          <w:numId w:val="1011"/>
        </w:numPr>
      </w:pPr>
      <w:r>
        <w:t xml:space="preserve">Actualizar bibliotecas y políticas.</w:t>
      </w:r>
    </w:p>
    <w:p>
      <w:pPr>
        <w:pStyle w:val="Compact"/>
        <w:numPr>
          <w:ilvl w:val="0"/>
          <w:numId w:val="1011"/>
        </w:numPr>
      </w:pPr>
      <w:r>
        <w:t xml:space="preserve">Revisar anualmente el plan.</w:t>
      </w:r>
    </w:p>
    <w:bookmarkEnd w:id="46"/>
    <w:bookmarkEnd w:id="47"/>
    <w:bookmarkStart w:id="52" w:name="gestión-del-ciclo-de-vida-de-claves"/>
    <w:p>
      <w:pPr>
        <w:pStyle w:val="Heading1"/>
      </w:pPr>
      <w:r>
        <w:t xml:space="preserve">8. Gestión del ciclo de vida de claves</w:t>
      </w:r>
    </w:p>
    <w:bookmarkStart w:id="48" w:name="generación"/>
    <w:p>
      <w:pPr>
        <w:pStyle w:val="Heading2"/>
      </w:pPr>
      <w:r>
        <w:t xml:space="preserve">8.1 Generación</w:t>
      </w:r>
    </w:p>
    <w:p>
      <w:pPr>
        <w:pStyle w:val="FirstParagraph"/>
      </w:pPr>
      <w:r>
        <w:t xml:space="preserve">Las claves deben generarse mediante un CSPRNG aprobado. Para activos de alto valor, usar HSM o KMS. Registrar solo metadatos no secretos: identificador, algoritmo, fecha, propietario, estado y huella de la clave pública.</w:t>
      </w:r>
    </w:p>
    <w:bookmarkEnd w:id="48"/>
    <w:bookmarkStart w:id="49" w:name="custodia"/>
    <w:p>
      <w:pPr>
        <w:pStyle w:val="Heading2"/>
      </w:pPr>
      <w:r>
        <w:t xml:space="preserve">8.2 Custodia</w:t>
      </w:r>
    </w:p>
    <w:p>
      <w:pPr>
        <w:pStyle w:val="Compact"/>
        <w:numPr>
          <w:ilvl w:val="0"/>
          <w:numId w:val="1012"/>
        </w:numPr>
      </w:pPr>
      <w:r>
        <w:t xml:space="preserve">Separar claves de desarrollo, pruebas y producción.</w:t>
      </w:r>
    </w:p>
    <w:p>
      <w:pPr>
        <w:pStyle w:val="Compact"/>
        <w:numPr>
          <w:ilvl w:val="0"/>
          <w:numId w:val="1012"/>
        </w:numPr>
      </w:pPr>
      <w:r>
        <w:t xml:space="preserve">Aplicar mínimo privilegio.</w:t>
      </w:r>
    </w:p>
    <w:p>
      <w:pPr>
        <w:pStyle w:val="Compact"/>
        <w:numPr>
          <w:ilvl w:val="0"/>
          <w:numId w:val="1012"/>
        </w:numPr>
      </w:pPr>
      <w:r>
        <w:t xml:space="preserve">Requerir autorización múltiple para claves críticas.</w:t>
      </w:r>
    </w:p>
    <w:p>
      <w:pPr>
        <w:pStyle w:val="Compact"/>
        <w:numPr>
          <w:ilvl w:val="0"/>
          <w:numId w:val="1012"/>
        </w:numPr>
      </w:pPr>
      <w:r>
        <w:t xml:space="preserve">Impedir exportación de claves privadas cuando el HSM lo permita.</w:t>
      </w:r>
    </w:p>
    <w:p>
      <w:pPr>
        <w:pStyle w:val="Compact"/>
        <w:numPr>
          <w:ilvl w:val="0"/>
          <w:numId w:val="1012"/>
        </w:numPr>
      </w:pPr>
      <w:r>
        <w:t xml:space="preserve">Prohibir secretos en Git, logs, tickets y variables públicas.</w:t>
      </w:r>
    </w:p>
    <w:bookmarkEnd w:id="49"/>
    <w:bookmarkStart w:id="50" w:name="rotación"/>
    <w:p>
      <w:pPr>
        <w:pStyle w:val="Heading2"/>
      </w:pPr>
      <w:r>
        <w:t xml:space="preserve">8.3 Rotación</w:t>
      </w:r>
    </w:p>
    <w:p>
      <w:pPr>
        <w:pStyle w:val="FirstParagraph"/>
      </w:pPr>
      <w:r>
        <w:t xml:space="preserve">La rotación debe estar basada en riesgo, política y eventos. Una rotación no invalida automáticamente las firmas históricas: la clave pública antigua debe conservarse para verificación, marcada como histórica o retirada.</w:t>
      </w:r>
    </w:p>
    <w:bookmarkEnd w:id="50"/>
    <w:bookmarkStart w:id="51" w:name="revocación"/>
    <w:p>
      <w:pPr>
        <w:pStyle w:val="Heading2"/>
      </w:pPr>
      <w:r>
        <w:t xml:space="preserve">8.4 Revocación</w:t>
      </w:r>
    </w:p>
    <w:p>
      <w:pPr>
        <w:pStyle w:val="FirstParagraph"/>
      </w:pPr>
      <w:r>
        <w:t xml:space="preserve">Revocar una clave si existe sospecha de exposición, uso indebido, pérdida de control o incumplimiento. Registrar motivo, fecha, autoridad y alcance. Diferenciar entre</w:t>
      </w:r>
      <w:r>
        <w:t xml:space="preserve"> </w:t>
      </w:r>
      <w:r>
        <w:rPr>
          <w:rStyle w:val="VerbatimChar"/>
        </w:rPr>
        <w:t xml:space="preserve">revoked</w:t>
      </w:r>
      <w:r>
        <w:t xml:space="preserve">,</w:t>
      </w:r>
      <w:r>
        <w:t xml:space="preserve"> </w:t>
      </w:r>
      <w:r>
        <w:rPr>
          <w:rStyle w:val="VerbatimChar"/>
        </w:rPr>
        <w:t xml:space="preserve">expired</w:t>
      </w:r>
      <w:r>
        <w:t xml:space="preserve">,</w:t>
      </w:r>
      <w:r>
        <w:t xml:space="preserve"> </w:t>
      </w:r>
      <w:r>
        <w:rPr>
          <w:rStyle w:val="VerbatimChar"/>
        </w:rPr>
        <w:t xml:space="preserve">retired</w:t>
      </w:r>
      <w:r>
        <w:t xml:space="preserve"> </w:t>
      </w:r>
      <w:r>
        <w:t xml:space="preserve">y</w:t>
      </w:r>
      <w:r>
        <w:t xml:space="preserve"> </w:t>
      </w:r>
      <w:r>
        <w:rPr>
          <w:rStyle w:val="VerbatimChar"/>
        </w:rPr>
        <w:t xml:space="preserve">compromised</w:t>
      </w:r>
      <w:r>
        <w:t xml:space="preserve">.</w:t>
      </w:r>
    </w:p>
    <w:bookmarkEnd w:id="51"/>
    <w:bookmarkEnd w:id="52"/>
    <w:bookmarkStart w:id="56" w:name="apis-y-contratos"/>
    <w:p>
      <w:pPr>
        <w:pStyle w:val="Heading1"/>
      </w:pPr>
      <w:r>
        <w:t xml:space="preserve">9. APIs y contratos</w:t>
      </w:r>
    </w:p>
    <w:bookmarkStart w:id="53" w:name="emitir-certificado"/>
    <w:p>
      <w:pPr>
        <w:pStyle w:val="Heading2"/>
      </w:pPr>
      <w:r>
        <w:t xml:space="preserve">9.1 Emitir certificado</w:t>
      </w:r>
    </w:p>
    <w:p>
      <w:pPr>
        <w:pStyle w:val="SourceCode"/>
      </w:pPr>
      <w:r>
        <w:rPr>
          <w:rStyle w:val="VerbatimChar"/>
        </w:rPr>
        <w:t xml:space="preserve">POST /v1/certificates</w:t>
      </w:r>
      <w:r>
        <w:br/>
      </w:r>
      <w:r>
        <w:rPr>
          <w:rStyle w:val="VerbatimChar"/>
        </w:rPr>
        <w:t xml:space="preserve">Content-Type: application/json</w:t>
      </w:r>
    </w:p>
    <w:p>
      <w:pPr>
        <w:pStyle w:val="FirstParagraph"/>
      </w:pPr>
      <w:r>
        <w:t xml:space="preserve">La respuesta debe incluir el identificador, hash, algoritmos, firmas y estado de verificación. Nunca devolver claves privadas.</w:t>
      </w:r>
    </w:p>
    <w:bookmarkEnd w:id="53"/>
    <w:bookmarkStart w:id="54" w:name="verificar-certificado"/>
    <w:p>
      <w:pPr>
        <w:pStyle w:val="Heading2"/>
      </w:pPr>
      <w:r>
        <w:t xml:space="preserve">9.2 Verificar certificado</w:t>
      </w:r>
    </w:p>
    <w:p>
      <w:pPr>
        <w:pStyle w:val="SourceCode"/>
      </w:pPr>
      <w:r>
        <w:rPr>
          <w:rStyle w:val="VerbatimChar"/>
        </w:rPr>
        <w:t xml:space="preserve">POST /v1/certificates/verify</w:t>
      </w:r>
      <w:r>
        <w:br/>
      </w:r>
      <w:r>
        <w:rPr>
          <w:rStyle w:val="VerbatimChar"/>
        </w:rPr>
        <w:t xml:space="preserve">Content-Type: application/json</w:t>
      </w:r>
    </w:p>
    <w:p>
      <w:pPr>
        <w:pStyle w:val="FirstParagraph"/>
      </w:pPr>
      <w:r>
        <w:t xml:space="preserve">La respuesta debe indicar por separado:</w:t>
      </w:r>
    </w:p>
    <w:p>
      <w:pPr>
        <w:pStyle w:val="Compact"/>
        <w:numPr>
          <w:ilvl w:val="0"/>
          <w:numId w:val="1013"/>
        </w:numPr>
      </w:pPr>
      <w:r>
        <w:rPr>
          <w:rStyle w:val="VerbatimChar"/>
        </w:rPr>
        <w:t xml:space="preserve">content_hash_valid</w:t>
      </w:r>
      <w:r>
        <w:t xml:space="preserve">.</w:t>
      </w:r>
    </w:p>
    <w:p>
      <w:pPr>
        <w:pStyle w:val="Compact"/>
        <w:numPr>
          <w:ilvl w:val="0"/>
          <w:numId w:val="1013"/>
        </w:numPr>
      </w:pPr>
      <w:r>
        <w:rPr>
          <w:rStyle w:val="VerbatimChar"/>
        </w:rPr>
        <w:t xml:space="preserve">classical_signature_valid</w:t>
      </w:r>
      <w:r>
        <w:t xml:space="preserve">.</w:t>
      </w:r>
    </w:p>
    <w:p>
      <w:pPr>
        <w:pStyle w:val="Compact"/>
        <w:numPr>
          <w:ilvl w:val="0"/>
          <w:numId w:val="1013"/>
        </w:numPr>
      </w:pPr>
      <w:r>
        <w:rPr>
          <w:rStyle w:val="VerbatimChar"/>
        </w:rPr>
        <w:t xml:space="preserve">pqc_signature_valid</w:t>
      </w:r>
      <w:r>
        <w:t xml:space="preserve">.</w:t>
      </w:r>
    </w:p>
    <w:p>
      <w:pPr>
        <w:pStyle w:val="Compact"/>
        <w:numPr>
          <w:ilvl w:val="0"/>
          <w:numId w:val="1013"/>
        </w:numPr>
      </w:pPr>
      <w:r>
        <w:rPr>
          <w:rStyle w:val="VerbatimChar"/>
        </w:rPr>
        <w:t xml:space="preserve">policy_valid</w:t>
      </w:r>
      <w:r>
        <w:t xml:space="preserve">.</w:t>
      </w:r>
    </w:p>
    <w:p>
      <w:pPr>
        <w:pStyle w:val="Compact"/>
        <w:numPr>
          <w:ilvl w:val="0"/>
          <w:numId w:val="1013"/>
        </w:numPr>
      </w:pPr>
      <w:r>
        <w:rPr>
          <w:rStyle w:val="VerbatimChar"/>
        </w:rPr>
        <w:t xml:space="preserve">key_status</w:t>
      </w:r>
      <w:r>
        <w:t xml:space="preserve">.</w:t>
      </w:r>
    </w:p>
    <w:p>
      <w:pPr>
        <w:pStyle w:val="Compact"/>
        <w:numPr>
          <w:ilvl w:val="0"/>
          <w:numId w:val="1013"/>
        </w:numPr>
      </w:pPr>
      <w:r>
        <w:rPr>
          <w:rStyle w:val="VerbatimChar"/>
        </w:rPr>
        <w:t xml:space="preserve">timestamp_evidence_valid</w:t>
      </w:r>
      <w:r>
        <w:t xml:space="preserve">.</w:t>
      </w:r>
    </w:p>
    <w:p>
      <w:pPr>
        <w:pStyle w:val="Compact"/>
        <w:numPr>
          <w:ilvl w:val="0"/>
          <w:numId w:val="1013"/>
        </w:numPr>
      </w:pPr>
      <w:r>
        <w:rPr>
          <w:rStyle w:val="VerbatimChar"/>
        </w:rPr>
        <w:t xml:space="preserve">overall_status</w:t>
      </w:r>
      <w:r>
        <w:t xml:space="preserve">.</w:t>
      </w:r>
    </w:p>
    <w:p>
      <w:pPr>
        <w:pStyle w:val="FirstParagraph"/>
      </w:pPr>
      <w:r>
        <w:t xml:space="preserve">No devolver simplemente</w:t>
      </w:r>
      <w:r>
        <w:t xml:space="preserve"> </w:t>
      </w:r>
      <w:r>
        <w:t xml:space="preserve">“</w:t>
      </w:r>
      <w:r>
        <w:t xml:space="preserve">válido</w:t>
      </w:r>
      <w:r>
        <w:t xml:space="preserve">”</w:t>
      </w:r>
      <w:r>
        <w:t xml:space="preserve"> </w:t>
      </w:r>
      <w:r>
        <w:t xml:space="preserve">sin explicar qué se verificó.</w:t>
      </w:r>
    </w:p>
    <w:bookmarkEnd w:id="54"/>
    <w:bookmarkStart w:id="55" w:name="migrar-un-registro"/>
    <w:p>
      <w:pPr>
        <w:pStyle w:val="Heading2"/>
      </w:pPr>
      <w:r>
        <w:t xml:space="preserve">9.3 Migrar un registro</w:t>
      </w:r>
    </w:p>
    <w:p>
      <w:pPr>
        <w:pStyle w:val="SourceCode"/>
      </w:pPr>
      <w:r>
        <w:rPr>
          <w:rStyle w:val="VerbatimChar"/>
        </w:rPr>
        <w:t xml:space="preserve">POST /v1/migrations</w:t>
      </w:r>
      <w:r>
        <w:br/>
      </w:r>
      <w:r>
        <w:rPr>
          <w:rStyle w:val="VerbatimChar"/>
        </w:rPr>
        <w:t xml:space="preserve">Content-Type: application/json</w:t>
      </w:r>
    </w:p>
    <w:p>
      <w:pPr>
        <w:pStyle w:val="FirstParagraph"/>
      </w:pPr>
      <w:r>
        <w:t xml:space="preserve">Debe ser idempotente: repetir la misma migración no debe crear evidencias duplicadas sin control. Usar una clave de idempotencia y devolver el evento existente si ya fue procesado.</w:t>
      </w:r>
    </w:p>
    <w:bookmarkEnd w:id="55"/>
    <w:bookmarkEnd w:id="56"/>
    <w:bookmarkStart w:id="61" w:name="pruebas-de-seguridad-y-calidad"/>
    <w:p>
      <w:pPr>
        <w:pStyle w:val="Heading1"/>
      </w:pPr>
      <w:r>
        <w:t xml:space="preserve">10. Pruebas de seguridad y calidad</w:t>
      </w:r>
    </w:p>
    <w:bookmarkStart w:id="57" w:name="pruebas-funcionales"/>
    <w:p>
      <w:pPr>
        <w:pStyle w:val="Heading2"/>
      </w:pPr>
      <w:r>
        <w:t xml:space="preserve">10.1 Pruebas funcionales</w:t>
      </w:r>
    </w:p>
    <w:p>
      <w:pPr>
        <w:pStyle w:val="Compact"/>
        <w:numPr>
          <w:ilvl w:val="0"/>
          <w:numId w:val="1014"/>
        </w:numPr>
      </w:pPr>
      <w:r>
        <w:t xml:space="preserve">Hash idéntico para entradas canónicas idénticas.</w:t>
      </w:r>
    </w:p>
    <w:p>
      <w:pPr>
        <w:pStyle w:val="Compact"/>
        <w:numPr>
          <w:ilvl w:val="0"/>
          <w:numId w:val="1014"/>
        </w:numPr>
      </w:pPr>
      <w:r>
        <w:t xml:space="preserve">Hash diferente cuando cambia el contenido.</w:t>
      </w:r>
    </w:p>
    <w:p>
      <w:pPr>
        <w:pStyle w:val="Compact"/>
        <w:numPr>
          <w:ilvl w:val="0"/>
          <w:numId w:val="1014"/>
        </w:numPr>
      </w:pPr>
      <w:r>
        <w:t xml:space="preserve">Firma válida con clave correcta.</w:t>
      </w:r>
    </w:p>
    <w:p>
      <w:pPr>
        <w:pStyle w:val="Compact"/>
        <w:numPr>
          <w:ilvl w:val="0"/>
          <w:numId w:val="1014"/>
        </w:numPr>
      </w:pPr>
      <w:r>
        <w:t xml:space="preserve">Firma inválida ante cualquier modificación.</w:t>
      </w:r>
    </w:p>
    <w:p>
      <w:pPr>
        <w:pStyle w:val="Compact"/>
        <w:numPr>
          <w:ilvl w:val="0"/>
          <w:numId w:val="1014"/>
        </w:numPr>
      </w:pPr>
      <w:r>
        <w:t xml:space="preserve">Rechazo de algoritmo desconocido.</w:t>
      </w:r>
    </w:p>
    <w:p>
      <w:pPr>
        <w:pStyle w:val="Compact"/>
        <w:numPr>
          <w:ilvl w:val="0"/>
          <w:numId w:val="1014"/>
        </w:numPr>
      </w:pPr>
      <w:r>
        <w:t xml:space="preserve">Rechazo de firma con clave revocada.</w:t>
      </w:r>
    </w:p>
    <w:p>
      <w:pPr>
        <w:pStyle w:val="Compact"/>
        <w:numPr>
          <w:ilvl w:val="0"/>
          <w:numId w:val="1014"/>
        </w:numPr>
      </w:pPr>
      <w:r>
        <w:t xml:space="preserve">Verificación correcta de certificados históricos.</w:t>
      </w:r>
    </w:p>
    <w:bookmarkEnd w:id="57"/>
    <w:bookmarkStart w:id="58" w:name="pruebas-de-interoperabilidad"/>
    <w:p>
      <w:pPr>
        <w:pStyle w:val="Heading2"/>
      </w:pPr>
      <w:r>
        <w:t xml:space="preserve">10.2 Pruebas de interoperabilidad</w:t>
      </w:r>
    </w:p>
    <w:p>
      <w:pPr>
        <w:pStyle w:val="Compact"/>
        <w:numPr>
          <w:ilvl w:val="0"/>
          <w:numId w:val="1015"/>
        </w:numPr>
      </w:pPr>
      <w:r>
        <w:t xml:space="preserve">Generar en servicio A y verificar en servicio B.</w:t>
      </w:r>
    </w:p>
    <w:p>
      <w:pPr>
        <w:pStyle w:val="Compact"/>
        <w:numPr>
          <w:ilvl w:val="0"/>
          <w:numId w:val="1015"/>
        </w:numPr>
      </w:pPr>
      <w:r>
        <w:t xml:space="preserve">Probar distintos sistemas operativos.</w:t>
      </w:r>
    </w:p>
    <w:p>
      <w:pPr>
        <w:pStyle w:val="Compact"/>
        <w:numPr>
          <w:ilvl w:val="0"/>
          <w:numId w:val="1015"/>
        </w:numPr>
      </w:pPr>
      <w:r>
        <w:t xml:space="preserve">Probar serialización JSON y binaria.</w:t>
      </w:r>
    </w:p>
    <w:p>
      <w:pPr>
        <w:pStyle w:val="Compact"/>
        <w:numPr>
          <w:ilvl w:val="0"/>
          <w:numId w:val="1015"/>
        </w:numPr>
      </w:pPr>
      <w:r>
        <w:t xml:space="preserve">Probar caracteres Unicode y documentos grandes.</w:t>
      </w:r>
    </w:p>
    <w:p>
      <w:pPr>
        <w:pStyle w:val="Compact"/>
        <w:numPr>
          <w:ilvl w:val="0"/>
          <w:numId w:val="1015"/>
        </w:numPr>
      </w:pPr>
      <w:r>
        <w:t xml:space="preserve">Probar tamaños máximos de firma y claves.</w:t>
      </w:r>
    </w:p>
    <w:bookmarkEnd w:id="58"/>
    <w:bookmarkStart w:id="59" w:name="pruebas-de-rendimiento"/>
    <w:p>
      <w:pPr>
        <w:pStyle w:val="Heading2"/>
      </w:pPr>
      <w:r>
        <w:t xml:space="preserve">10.3 Pruebas de rendimiento</w:t>
      </w:r>
    </w:p>
    <w:p>
      <w:pPr>
        <w:pStyle w:val="FirstParagraph"/>
      </w:pPr>
      <w:r>
        <w:t xml:space="preserve">Medir:</w:t>
      </w:r>
    </w:p>
    <w:p>
      <w:pPr>
        <w:pStyle w:val="Compact"/>
        <w:numPr>
          <w:ilvl w:val="0"/>
          <w:numId w:val="1016"/>
        </w:numPr>
      </w:pPr>
      <w:r>
        <w:t xml:space="preserve">Tiempo de firma.</w:t>
      </w:r>
    </w:p>
    <w:p>
      <w:pPr>
        <w:pStyle w:val="Compact"/>
        <w:numPr>
          <w:ilvl w:val="0"/>
          <w:numId w:val="1016"/>
        </w:numPr>
      </w:pPr>
      <w:r>
        <w:t xml:space="preserve">Tiempo de verificación.</w:t>
      </w:r>
    </w:p>
    <w:p>
      <w:pPr>
        <w:pStyle w:val="Compact"/>
        <w:numPr>
          <w:ilvl w:val="0"/>
          <w:numId w:val="1016"/>
        </w:numPr>
      </w:pPr>
      <w:r>
        <w:t xml:space="preserve">Memoria.</w:t>
      </w:r>
    </w:p>
    <w:p>
      <w:pPr>
        <w:pStyle w:val="Compact"/>
        <w:numPr>
          <w:ilvl w:val="0"/>
          <w:numId w:val="1016"/>
        </w:numPr>
      </w:pPr>
      <w:r>
        <w:t xml:space="preserve">Tamaño de registro.</w:t>
      </w:r>
    </w:p>
    <w:p>
      <w:pPr>
        <w:pStyle w:val="Compact"/>
        <w:numPr>
          <w:ilvl w:val="0"/>
          <w:numId w:val="1016"/>
        </w:numPr>
      </w:pPr>
      <w:r>
        <w:t xml:space="preserve">Coste de almacenamiento.</w:t>
      </w:r>
    </w:p>
    <w:p>
      <w:pPr>
        <w:pStyle w:val="Compact"/>
        <w:numPr>
          <w:ilvl w:val="0"/>
          <w:numId w:val="1016"/>
        </w:numPr>
      </w:pPr>
      <w:r>
        <w:t xml:space="preserve">Throughput bajo carga.</w:t>
      </w:r>
    </w:p>
    <w:p>
      <w:pPr>
        <w:pStyle w:val="Compact"/>
        <w:numPr>
          <w:ilvl w:val="0"/>
          <w:numId w:val="1016"/>
        </w:numPr>
      </w:pPr>
      <w:r>
        <w:t xml:space="preserve">Latencia de HSM/KMS.</w:t>
      </w:r>
    </w:p>
    <w:bookmarkEnd w:id="59"/>
    <w:bookmarkStart w:id="60" w:name="pruebas-negativas"/>
    <w:p>
      <w:pPr>
        <w:pStyle w:val="Heading2"/>
      </w:pPr>
      <w:r>
        <w:t xml:space="preserve">10.4 Pruebas negativas</w:t>
      </w:r>
    </w:p>
    <w:p>
      <w:pPr>
        <w:pStyle w:val="Compact"/>
        <w:numPr>
          <w:ilvl w:val="0"/>
          <w:numId w:val="1017"/>
        </w:numPr>
      </w:pPr>
      <w:r>
        <w:t xml:space="preserve">Documento alterado.</w:t>
      </w:r>
    </w:p>
    <w:p>
      <w:pPr>
        <w:pStyle w:val="Compact"/>
        <w:numPr>
          <w:ilvl w:val="0"/>
          <w:numId w:val="1017"/>
        </w:numPr>
      </w:pPr>
      <w:r>
        <w:t xml:space="preserve">Firma truncada.</w:t>
      </w:r>
    </w:p>
    <w:p>
      <w:pPr>
        <w:pStyle w:val="Compact"/>
        <w:numPr>
          <w:ilvl w:val="0"/>
          <w:numId w:val="1017"/>
        </w:numPr>
      </w:pPr>
      <w:r>
        <w:t xml:space="preserve">Clave pública equivocada.</w:t>
      </w:r>
    </w:p>
    <w:p>
      <w:pPr>
        <w:pStyle w:val="Compact"/>
        <w:numPr>
          <w:ilvl w:val="0"/>
          <w:numId w:val="1017"/>
        </w:numPr>
      </w:pPr>
      <w:r>
        <w:t xml:space="preserve">Campo obligatorio ausente.</w:t>
      </w:r>
    </w:p>
    <w:p>
      <w:pPr>
        <w:pStyle w:val="Compact"/>
        <w:numPr>
          <w:ilvl w:val="0"/>
          <w:numId w:val="1017"/>
        </w:numPr>
      </w:pPr>
      <w:r>
        <w:t xml:space="preserve">Fecha fuera de rango.</w:t>
      </w:r>
    </w:p>
    <w:p>
      <w:pPr>
        <w:pStyle w:val="Compact"/>
        <w:numPr>
          <w:ilvl w:val="0"/>
          <w:numId w:val="1017"/>
        </w:numPr>
      </w:pPr>
      <w:r>
        <w:t xml:space="preserve">Registro duplicado.</w:t>
      </w:r>
    </w:p>
    <w:p>
      <w:pPr>
        <w:pStyle w:val="Compact"/>
        <w:numPr>
          <w:ilvl w:val="0"/>
          <w:numId w:val="1017"/>
        </w:numPr>
      </w:pPr>
      <w:r>
        <w:t xml:space="preserve">Ataque de repetición.</w:t>
      </w:r>
    </w:p>
    <w:p>
      <w:pPr>
        <w:pStyle w:val="Compact"/>
        <w:numPr>
          <w:ilvl w:val="0"/>
          <w:numId w:val="1017"/>
        </w:numPr>
      </w:pPr>
      <w:r>
        <w:t xml:space="preserve">Manipulación del orden de campos.</w:t>
      </w:r>
    </w:p>
    <w:p>
      <w:pPr>
        <w:pStyle w:val="Compact"/>
        <w:numPr>
          <w:ilvl w:val="0"/>
          <w:numId w:val="1017"/>
        </w:numPr>
      </w:pPr>
      <w:r>
        <w:t xml:space="preserve">Algoritmo degradado intencionalmente.</w:t>
      </w:r>
    </w:p>
    <w:bookmarkEnd w:id="60"/>
    <w:bookmarkEnd w:id="61"/>
    <w:bookmarkStart w:id="62" w:name="auditoría-y-trazabilidad"/>
    <w:p>
      <w:pPr>
        <w:pStyle w:val="Heading1"/>
      </w:pPr>
      <w:r>
        <w:t xml:space="preserve">11. Auditoría y trazabilidad</w:t>
      </w:r>
    </w:p>
    <w:p>
      <w:pPr>
        <w:pStyle w:val="FirstParagraph"/>
      </w:pPr>
      <w:r>
        <w:t xml:space="preserve">Cada evento debe incluir:</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"AUD-000001"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"certificate_issued"</w:t>
      </w: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"KRONOS-000001"</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"service-account"</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"2026-08-21T20:00:00Z"</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"kronos-crypto-1.0"</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"REQ-000001"</w:t>
      </w:r>
      <w:r>
        <w:br/>
      </w:r>
      <w:r>
        <w:rPr>
          <w:rStyle w:val="FunctionTok"/>
        </w:rPr>
        <w:t xml:space="preserve">}</w:t>
      </w:r>
    </w:p>
    <w:p>
      <w:pPr>
        <w:pStyle w:val="FirstParagraph"/>
      </w:pPr>
      <w:r>
        <w:t xml:space="preserve">Los logs deben estar protegidos contra modificación, contener el mínimo de información sensible y sincronizarse con una fuente horaria confiable. La evidencia temporal debe distinguir entre la fecha declarada por el sistema y una evidencia externa o de autoridad de sellado de tiempo.</w:t>
      </w:r>
    </w:p>
    <w:bookmarkEnd w:id="62"/>
    <w:bookmarkStart w:id="63" w:name="copias-de-seguridad-y-recuperación"/>
    <w:p>
      <w:pPr>
        <w:pStyle w:val="Heading1"/>
      </w:pPr>
      <w:r>
        <w:t xml:space="preserve">12. Copias de seguridad y recuperación</w:t>
      </w:r>
    </w:p>
    <w:p>
      <w:pPr>
        <w:pStyle w:val="Compact"/>
        <w:numPr>
          <w:ilvl w:val="0"/>
          <w:numId w:val="1018"/>
        </w:numPr>
      </w:pPr>
      <w:r>
        <w:t xml:space="preserve">Copia cifrada de metadatos y evidencias.</w:t>
      </w:r>
    </w:p>
    <w:p>
      <w:pPr>
        <w:pStyle w:val="Compact"/>
        <w:numPr>
          <w:ilvl w:val="0"/>
          <w:numId w:val="1018"/>
        </w:numPr>
      </w:pPr>
      <w:r>
        <w:t xml:space="preserve">Copias separadas geográficamente cuando el riesgo lo justifique.</w:t>
      </w:r>
    </w:p>
    <w:p>
      <w:pPr>
        <w:pStyle w:val="Compact"/>
        <w:numPr>
          <w:ilvl w:val="0"/>
          <w:numId w:val="1018"/>
        </w:numPr>
      </w:pPr>
      <w:r>
        <w:t xml:space="preserve">Pruebas periódicas de restauración.</w:t>
      </w:r>
    </w:p>
    <w:p>
      <w:pPr>
        <w:pStyle w:val="Compact"/>
        <w:numPr>
          <w:ilvl w:val="0"/>
          <w:numId w:val="1018"/>
        </w:numPr>
      </w:pPr>
      <w:r>
        <w:t xml:space="preserve">Retención definida por categoría de registro.</w:t>
      </w:r>
    </w:p>
    <w:p>
      <w:pPr>
        <w:pStyle w:val="Compact"/>
        <w:numPr>
          <w:ilvl w:val="0"/>
          <w:numId w:val="1018"/>
        </w:numPr>
      </w:pPr>
      <w:r>
        <w:t xml:space="preserve">Verificación de hashes después de restaurar.</w:t>
      </w:r>
    </w:p>
    <w:p>
      <w:pPr>
        <w:pStyle w:val="Compact"/>
        <w:numPr>
          <w:ilvl w:val="0"/>
          <w:numId w:val="1018"/>
        </w:numPr>
      </w:pPr>
      <w:r>
        <w:t xml:space="preserve">Procedimiento de recuperación de claves públicas históricas.</w:t>
      </w:r>
    </w:p>
    <w:p>
      <w:pPr>
        <w:pStyle w:val="Compact"/>
        <w:numPr>
          <w:ilvl w:val="0"/>
          <w:numId w:val="1018"/>
        </w:numPr>
      </w:pPr>
      <w:r>
        <w:t xml:space="preserve">Procedimiento de emergencia si el proveedor criptográfico deja de estar disponible.</w:t>
      </w:r>
    </w:p>
    <w:bookmarkEnd w:id="63"/>
    <w:bookmarkStart w:id="64" w:name="seguridad-del-desarrollo"/>
    <w:p>
      <w:pPr>
        <w:pStyle w:val="Heading1"/>
      </w:pPr>
      <w:r>
        <w:t xml:space="preserve">13. Seguridad del desarrollo</w:t>
      </w:r>
    </w:p>
    <w:p>
      <w:pPr>
        <w:pStyle w:val="Compact"/>
        <w:numPr>
          <w:ilvl w:val="0"/>
          <w:numId w:val="1019"/>
        </w:numPr>
      </w:pPr>
      <w:r>
        <w:t xml:space="preserve">Revisión de dependencias y CVE.</w:t>
      </w:r>
    </w:p>
    <w:p>
      <w:pPr>
        <w:pStyle w:val="Compact"/>
        <w:numPr>
          <w:ilvl w:val="0"/>
          <w:numId w:val="1019"/>
        </w:numPr>
      </w:pPr>
      <w:r>
        <w:t xml:space="preserve">Bloqueo de versiones en producción.</w:t>
      </w:r>
    </w:p>
    <w:p>
      <w:pPr>
        <w:pStyle w:val="Compact"/>
        <w:numPr>
          <w:ilvl w:val="0"/>
          <w:numId w:val="1019"/>
        </w:numPr>
      </w:pPr>
      <w:r>
        <w:t xml:space="preserve">Firma de artefactos de compilación.</w:t>
      </w:r>
    </w:p>
    <w:p>
      <w:pPr>
        <w:pStyle w:val="Compact"/>
        <w:numPr>
          <w:ilvl w:val="0"/>
          <w:numId w:val="1019"/>
        </w:numPr>
      </w:pPr>
      <w:r>
        <w:t xml:space="preserve">Revisión por pares.</w:t>
      </w:r>
    </w:p>
    <w:p>
      <w:pPr>
        <w:pStyle w:val="Compact"/>
        <w:numPr>
          <w:ilvl w:val="0"/>
          <w:numId w:val="1019"/>
        </w:numPr>
      </w:pPr>
      <w:r>
        <w:t xml:space="preserve">SAST, DAST y análisis de secretos.</w:t>
      </w:r>
    </w:p>
    <w:p>
      <w:pPr>
        <w:pStyle w:val="Compact"/>
        <w:numPr>
          <w:ilvl w:val="0"/>
          <w:numId w:val="1019"/>
        </w:numPr>
      </w:pPr>
      <w:r>
        <w:t xml:space="preserve">Pruebas automatizadas en CI.</w:t>
      </w:r>
    </w:p>
    <w:p>
      <w:pPr>
        <w:pStyle w:val="Compact"/>
        <w:numPr>
          <w:ilvl w:val="0"/>
          <w:numId w:val="1019"/>
        </w:numPr>
      </w:pPr>
      <w:r>
        <w:t xml:space="preserve">Separación de entornos.</w:t>
      </w:r>
    </w:p>
    <w:p>
      <w:pPr>
        <w:pStyle w:val="Compact"/>
        <w:numPr>
          <w:ilvl w:val="0"/>
          <w:numId w:val="1019"/>
        </w:numPr>
      </w:pPr>
      <w:r>
        <w:t xml:space="preserve">Prohibición de criptografía casera.</w:t>
      </w:r>
    </w:p>
    <w:p>
      <w:pPr>
        <w:pStyle w:val="Compact"/>
        <w:numPr>
          <w:ilvl w:val="0"/>
          <w:numId w:val="1019"/>
        </w:numPr>
      </w:pPr>
      <w:r>
        <w:t xml:space="preserve">Revisión de cambios criptográficos por un especialista.</w:t>
      </w:r>
    </w:p>
    <w:p>
      <w:pPr>
        <w:pStyle w:val="FirstParagraph"/>
      </w:pPr>
      <w:r>
        <w:t xml:space="preserve">Ejemplo de estructura de módulos:</w:t>
      </w:r>
    </w:p>
    <w:p>
      <w:pPr>
        <w:pStyle w:val="SourceCode"/>
      </w:pPr>
      <w:r>
        <w:rPr>
          <w:rStyle w:val="VerbatimChar"/>
        </w:rPr>
        <w:t xml:space="preserve">crypto/</w:t>
      </w:r>
      <w:r>
        <w:br/>
      </w:r>
      <w:r>
        <w:rPr>
          <w:rStyle w:val="VerbatimChar"/>
        </w:rPr>
        <w:t xml:space="preserve">├── policy.py</w:t>
      </w:r>
      <w:r>
        <w:br/>
      </w:r>
      <w:r>
        <w:rPr>
          <w:rStyle w:val="VerbatimChar"/>
        </w:rPr>
        <w:t xml:space="preserve">├── canonicalization.py</w:t>
      </w:r>
      <w:r>
        <w:br/>
      </w:r>
      <w:r>
        <w:rPr>
          <w:rStyle w:val="VerbatimChar"/>
        </w:rPr>
        <w:t xml:space="preserve">├── hashing.py</w:t>
      </w:r>
      <w:r>
        <w:br/>
      </w:r>
      <w:r>
        <w:rPr>
          <w:rStyle w:val="VerbatimChar"/>
        </w:rPr>
        <w:t xml:space="preserve">├── signatures/</w:t>
      </w:r>
      <w:r>
        <w:br/>
      </w:r>
      <w:r>
        <w:rPr>
          <w:rStyle w:val="VerbatimChar"/>
        </w:rPr>
        <w:t xml:space="preserve">│   ├── classical.py</w:t>
      </w:r>
      <w:r>
        <w:br/>
      </w:r>
      <w:r>
        <w:rPr>
          <w:rStyle w:val="VerbatimChar"/>
        </w:rPr>
        <w:t xml:space="preserve">│   ├── pqc.py</w:t>
      </w:r>
      <w:r>
        <w:br/>
      </w:r>
      <w:r>
        <w:rPr>
          <w:rStyle w:val="VerbatimChar"/>
        </w:rPr>
        <w:t xml:space="preserve">│   └── hybrid.py</w:t>
      </w:r>
      <w:r>
        <w:br/>
      </w:r>
      <w:r>
        <w:rPr>
          <w:rStyle w:val="VerbatimChar"/>
        </w:rPr>
        <w:t xml:space="preserve">├── keys.py</w:t>
      </w:r>
      <w:r>
        <w:br/>
      </w:r>
      <w:r>
        <w:rPr>
          <w:rStyle w:val="VerbatimChar"/>
        </w:rPr>
        <w:t xml:space="preserve">├── verification.py</w:t>
      </w:r>
      <w:r>
        <w:br/>
      </w:r>
      <w:r>
        <w:rPr>
          <w:rStyle w:val="VerbatimChar"/>
        </w:rPr>
        <w:t xml:space="preserve">├── migration.py</w:t>
      </w:r>
      <w:r>
        <w:br/>
      </w:r>
      <w:r>
        <w:rPr>
          <w:rStyle w:val="VerbatimChar"/>
        </w:rPr>
        <w:t xml:space="preserve">└── audit.py</w:t>
      </w:r>
    </w:p>
    <w:bookmarkEnd w:id="64"/>
    <w:bookmarkStart w:id="65" w:name="plan-de-despliegue"/>
    <w:p>
      <w:pPr>
        <w:pStyle w:val="Heading1"/>
      </w:pPr>
      <w:r>
        <w:t xml:space="preserve">14. Plan de despliegue</w:t>
      </w:r>
    </w:p>
    <w:p>
      <w:pPr>
        <w:pStyle w:val="Compact"/>
        <w:numPr>
          <w:ilvl w:val="0"/>
          <w:numId w:val="1020"/>
        </w:numPr>
      </w:pPr>
      <w:r>
        <w:t xml:space="preserve">Desplegar en laboratorio.</w:t>
      </w:r>
    </w:p>
    <w:p>
      <w:pPr>
        <w:pStyle w:val="Compact"/>
        <w:numPr>
          <w:ilvl w:val="0"/>
          <w:numId w:val="1020"/>
        </w:numPr>
      </w:pPr>
      <w:r>
        <w:t xml:space="preserve">Ejecutar vectores de prueba.</w:t>
      </w:r>
    </w:p>
    <w:p>
      <w:pPr>
        <w:pStyle w:val="Compact"/>
        <w:numPr>
          <w:ilvl w:val="0"/>
          <w:numId w:val="1020"/>
        </w:numPr>
      </w:pPr>
      <w:r>
        <w:t xml:space="preserve">Activar lectura híbrida en modo observación.</w:t>
      </w:r>
    </w:p>
    <w:p>
      <w:pPr>
        <w:pStyle w:val="Compact"/>
        <w:numPr>
          <w:ilvl w:val="0"/>
          <w:numId w:val="1020"/>
        </w:numPr>
      </w:pPr>
      <w:r>
        <w:t xml:space="preserve">Registrar métricas sin cambiar la emisión.</w:t>
      </w:r>
    </w:p>
    <w:p>
      <w:pPr>
        <w:pStyle w:val="Compact"/>
        <w:numPr>
          <w:ilvl w:val="0"/>
          <w:numId w:val="1020"/>
        </w:numPr>
      </w:pPr>
      <w:r>
        <w:t xml:space="preserve">Activar emisión híbrida para personal interno.</w:t>
      </w:r>
    </w:p>
    <w:p>
      <w:pPr>
        <w:pStyle w:val="Compact"/>
        <w:numPr>
          <w:ilvl w:val="0"/>
          <w:numId w:val="1020"/>
        </w:numPr>
      </w:pPr>
      <w:r>
        <w:t xml:space="preserve">Ampliar a un porcentaje controlado de clientes.</w:t>
      </w:r>
    </w:p>
    <w:p>
      <w:pPr>
        <w:pStyle w:val="Compact"/>
        <w:numPr>
          <w:ilvl w:val="0"/>
          <w:numId w:val="1020"/>
        </w:numPr>
      </w:pPr>
      <w:r>
        <w:t xml:space="preserve">Comparar errores y latencia.</w:t>
      </w:r>
    </w:p>
    <w:p>
      <w:pPr>
        <w:pStyle w:val="Compact"/>
        <w:numPr>
          <w:ilvl w:val="0"/>
          <w:numId w:val="1020"/>
        </w:numPr>
      </w:pPr>
      <w:r>
        <w:t xml:space="preserve">Activar para todos los nuevos registros.</w:t>
      </w:r>
    </w:p>
    <w:p>
      <w:pPr>
        <w:pStyle w:val="Compact"/>
        <w:numPr>
          <w:ilvl w:val="0"/>
          <w:numId w:val="1020"/>
        </w:numPr>
      </w:pPr>
      <w:r>
        <w:t xml:space="preserve">Migrar históricos por prioridad.</w:t>
      </w:r>
    </w:p>
    <w:p>
      <w:pPr>
        <w:pStyle w:val="Compact"/>
        <w:numPr>
          <w:ilvl w:val="0"/>
          <w:numId w:val="1020"/>
        </w:numPr>
      </w:pPr>
      <w:r>
        <w:t xml:space="preserve">Publicar política y documentación de verificación.</w:t>
      </w:r>
    </w:p>
    <w:p>
      <w:pPr>
        <w:pStyle w:val="FirstParagraph"/>
      </w:pPr>
      <w:r>
        <w:t xml:space="preserve">Cada paso debe tener un criterio de rollback. El rollback de la emisión no debe borrar evidencias ya creadas; solo debe detener temporalmente la creación de nuevas evidencias bajo la política nueva.</w:t>
      </w:r>
    </w:p>
    <w:bookmarkEnd w:id="65"/>
    <w:bookmarkStart w:id="66" w:name="gestión-de-incidentes"/>
    <w:p>
      <w:pPr>
        <w:pStyle w:val="Heading1"/>
      </w:pPr>
      <w:r>
        <w:t xml:space="preserve">15. Gestión de incidentes</w:t>
      </w:r>
    </w:p>
    <w:p>
      <w:pPr>
        <w:pStyle w:val="FirstParagraph"/>
      </w:pPr>
      <w:r>
        <w:t xml:space="preserve">Ante sospecha de compromiso:</w:t>
      </w:r>
    </w:p>
    <w:p>
      <w:pPr>
        <w:pStyle w:val="Compact"/>
        <w:numPr>
          <w:ilvl w:val="0"/>
          <w:numId w:val="1021"/>
        </w:numPr>
      </w:pPr>
      <w:r>
        <w:t xml:space="preserve">Activar el equipo de respuesta.</w:t>
      </w:r>
    </w:p>
    <w:p>
      <w:pPr>
        <w:pStyle w:val="Compact"/>
        <w:numPr>
          <w:ilvl w:val="0"/>
          <w:numId w:val="1021"/>
        </w:numPr>
      </w:pPr>
      <w:r>
        <w:t xml:space="preserve">Congelar cambios no esenciales.</w:t>
      </w:r>
    </w:p>
    <w:p>
      <w:pPr>
        <w:pStyle w:val="Compact"/>
        <w:numPr>
          <w:ilvl w:val="0"/>
          <w:numId w:val="1021"/>
        </w:numPr>
      </w:pPr>
      <w:r>
        <w:t xml:space="preserve">Identificar claves, registros y clientes afectados.</w:t>
      </w:r>
    </w:p>
    <w:p>
      <w:pPr>
        <w:pStyle w:val="Compact"/>
        <w:numPr>
          <w:ilvl w:val="0"/>
          <w:numId w:val="1021"/>
        </w:numPr>
      </w:pPr>
      <w:r>
        <w:t xml:space="preserve">Revocar claves comprometidas.</w:t>
      </w:r>
    </w:p>
    <w:p>
      <w:pPr>
        <w:pStyle w:val="Compact"/>
        <w:numPr>
          <w:ilvl w:val="0"/>
          <w:numId w:val="1021"/>
        </w:numPr>
      </w:pPr>
      <w:r>
        <w:t xml:space="preserve">Preservar logs y evidencias.</w:t>
      </w:r>
    </w:p>
    <w:p>
      <w:pPr>
        <w:pStyle w:val="Compact"/>
        <w:numPr>
          <w:ilvl w:val="0"/>
          <w:numId w:val="1021"/>
        </w:numPr>
      </w:pPr>
      <w:r>
        <w:t xml:space="preserve">Emitir nuevas firmas o evidencias de migración.</w:t>
      </w:r>
    </w:p>
    <w:p>
      <w:pPr>
        <w:pStyle w:val="Compact"/>
        <w:numPr>
          <w:ilvl w:val="0"/>
          <w:numId w:val="1021"/>
        </w:numPr>
      </w:pPr>
      <w:r>
        <w:t xml:space="preserve">Notificar según obligaciones contractuales y legales.</w:t>
      </w:r>
    </w:p>
    <w:p>
      <w:pPr>
        <w:pStyle w:val="Compact"/>
        <w:numPr>
          <w:ilvl w:val="0"/>
          <w:numId w:val="1021"/>
        </w:numPr>
      </w:pPr>
      <w:r>
        <w:t xml:space="preserve">Analizar causa raíz.</w:t>
      </w:r>
    </w:p>
    <w:p>
      <w:pPr>
        <w:pStyle w:val="Compact"/>
        <w:numPr>
          <w:ilvl w:val="0"/>
          <w:numId w:val="1021"/>
        </w:numPr>
      </w:pPr>
      <w:r>
        <w:t xml:space="preserve">Actualizar controles y política.</w:t>
      </w:r>
    </w:p>
    <w:p>
      <w:pPr>
        <w:pStyle w:val="Compact"/>
        <w:numPr>
          <w:ilvl w:val="0"/>
          <w:numId w:val="1021"/>
        </w:numPr>
      </w:pPr>
      <w:r>
        <w:t xml:space="preserve">Documentar el cierre y las lecciones aprendidas.</w:t>
      </w:r>
    </w:p>
    <w:bookmarkEnd w:id="66"/>
    <w:bookmarkStart w:id="67" w:name="métricas-y-criterios-de-aceptación"/>
    <w:p>
      <w:pPr>
        <w:pStyle w:val="Heading1"/>
      </w:pPr>
      <w:r>
        <w:t xml:space="preserve">16. Métricas y criterios de aceptación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Métrica</w:t>
            </w:r>
          </w:p>
        </w:tc>
        <w:tc>
          <w:tcPr/>
          <w:p>
            <w:pPr>
              <w:pStyle w:val="Compact"/>
              <w:jc w:val="left"/>
            </w:pPr>
            <w:r>
              <w:t xml:space="preserve">Objetivo inicial</w:t>
            </w:r>
          </w:p>
        </w:tc>
      </w:tr>
      <w:tr>
        <w:tc>
          <w:tcPr/>
          <w:p>
            <w:pPr>
              <w:pStyle w:val="Compact"/>
              <w:jc w:val="left"/>
            </w:pPr>
            <w:r>
              <w:t xml:space="preserve">Registros nuevos con firma híbrida</w:t>
            </w:r>
          </w:p>
        </w:tc>
        <w:tc>
          <w:tcPr/>
          <w:p>
            <w:pPr>
              <w:pStyle w:val="Compact"/>
              <w:jc w:val="left"/>
            </w:pPr>
            <w:r>
              <w:t xml:space="preserve">100% tras la fase de producción</w:t>
            </w:r>
          </w:p>
        </w:tc>
      </w:tr>
      <w:tr>
        <w:tc>
          <w:tcPr/>
          <w:p>
            <w:pPr>
              <w:pStyle w:val="Compact"/>
              <w:jc w:val="left"/>
            </w:pPr>
            <w:r>
              <w:t xml:space="preserve">Verificación de históricos</w:t>
            </w:r>
          </w:p>
        </w:tc>
        <w:tc>
          <w:tcPr/>
          <w:p>
            <w:pPr>
              <w:pStyle w:val="Compact"/>
              <w:jc w:val="left"/>
            </w:pPr>
            <w:r>
              <w:t xml:space="preserve">100% de los registros dentro del alcance</w:t>
            </w:r>
          </w:p>
        </w:tc>
      </w:tr>
      <w:tr>
        <w:tc>
          <w:tcPr/>
          <w:p>
            <w:pPr>
              <w:pStyle w:val="Compact"/>
              <w:jc w:val="left"/>
            </w:pPr>
            <w:r>
              <w:t xml:space="preserve">Vectores de prueba aprobados</w:t>
            </w:r>
          </w:p>
        </w:tc>
        <w:tc>
          <w:tcPr/>
          <w:p>
            <w:pPr>
              <w:pStyle w:val="Compact"/>
              <w:jc w:val="left"/>
            </w:pPr>
            <w:r>
              <w:t xml:space="preserve">100%</w:t>
            </w:r>
          </w:p>
        </w:tc>
      </w:tr>
      <w:tr>
        <w:tc>
          <w:tcPr/>
          <w:p>
            <w:pPr>
              <w:pStyle w:val="Compact"/>
              <w:jc w:val="left"/>
            </w:pPr>
            <w:r>
              <w:t xml:space="preserve">Secretos detectados en repositorio</w:t>
            </w:r>
          </w:p>
        </w:tc>
        <w:tc>
          <w:tcPr/>
          <w:p>
            <w:pPr>
              <w:pStyle w:val="Compact"/>
              <w:jc w:val="left"/>
            </w:pPr>
            <w:r>
              <w:t xml:space="preserve">0</w:t>
            </w:r>
          </w:p>
        </w:tc>
      </w:tr>
      <w:tr>
        <w:tc>
          <w:tcPr/>
          <w:p>
            <w:pPr>
              <w:pStyle w:val="Compact"/>
              <w:jc w:val="left"/>
            </w:pPr>
            <w:r>
              <w:t xml:space="preserve">Restauraciones de backup exitosas</w:t>
            </w:r>
          </w:p>
        </w:tc>
        <w:tc>
          <w:tcPr/>
          <w:p>
            <w:pPr>
              <w:pStyle w:val="Compact"/>
              <w:jc w:val="left"/>
            </w:pPr>
            <w:r>
              <w:t xml:space="preserve">100% de pruebas programadas</w:t>
            </w:r>
          </w:p>
        </w:tc>
      </w:tr>
      <w:tr>
        <w:tc>
          <w:tcPr/>
          <w:p>
            <w:pPr>
              <w:pStyle w:val="Compact"/>
              <w:jc w:val="left"/>
            </w:pPr>
            <w:r>
              <w:t xml:space="preserve">Algoritmos desconocidos aceptados</w:t>
            </w:r>
          </w:p>
        </w:tc>
        <w:tc>
          <w:tcPr/>
          <w:p>
            <w:pPr>
              <w:pStyle w:val="Compact"/>
              <w:jc w:val="left"/>
            </w:pPr>
            <w:r>
              <w:t xml:space="preserve">0</w:t>
            </w:r>
          </w:p>
        </w:tc>
      </w:tr>
      <w:tr>
        <w:tc>
          <w:tcPr/>
          <w:p>
            <w:pPr>
              <w:pStyle w:val="Compact"/>
              <w:jc w:val="left"/>
            </w:pPr>
            <w:r>
              <w:t xml:space="preserve">Migraciones duplicadas no controladas</w:t>
            </w:r>
          </w:p>
        </w:tc>
        <w:tc>
          <w:tcPr/>
          <w:p>
            <w:pPr>
              <w:pStyle w:val="Compact"/>
              <w:jc w:val="left"/>
            </w:pPr>
            <w:r>
              <w:t xml:space="preserve">0</w:t>
            </w:r>
          </w:p>
        </w:tc>
      </w:tr>
      <w:tr>
        <w:tc>
          <w:tcPr/>
          <w:p>
            <w:pPr>
              <w:pStyle w:val="Compact"/>
              <w:jc w:val="left"/>
            </w:pPr>
            <w:r>
              <w:t xml:space="preserve">Incidentes sin trazabilidad</w:t>
            </w:r>
          </w:p>
        </w:tc>
        <w:tc>
          <w:tcPr/>
          <w:p>
            <w:pPr>
              <w:pStyle w:val="Compact"/>
              <w:jc w:val="left"/>
            </w:pPr>
            <w:r>
              <w:t xml:space="preserve">0</w:t>
            </w:r>
          </w:p>
        </w:tc>
      </w:tr>
    </w:tbl>
    <w:bookmarkEnd w:id="67"/>
    <w:bookmarkStart w:id="68" w:name="riesgos-y-mitigaciones"/>
    <w:p>
      <w:pPr>
        <w:pStyle w:val="Heading1"/>
      </w:pPr>
      <w:r>
        <w:t xml:space="preserve">17. Riesgos y mitigaciones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Riesgo</w:t>
            </w:r>
          </w:p>
        </w:tc>
        <w:tc>
          <w:tcPr/>
          <w:p>
            <w:pPr>
              <w:pStyle w:val="Compact"/>
              <w:jc w:val="left"/>
            </w:pPr>
            <w:r>
              <w:t xml:space="preserve">Impacto</w:t>
            </w:r>
          </w:p>
        </w:tc>
        <w:tc>
          <w:tcPr/>
          <w:p>
            <w:pPr>
              <w:pStyle w:val="Compact"/>
              <w:jc w:val="left"/>
            </w:pPr>
            <w:r>
              <w:t xml:space="preserve">Mitigación</w:t>
            </w:r>
          </w:p>
        </w:tc>
      </w:tr>
      <w:tr>
        <w:tc>
          <w:tcPr/>
          <w:p>
            <w:pPr>
              <w:pStyle w:val="Compact"/>
              <w:jc w:val="left"/>
            </w:pPr>
            <w:r>
              <w:t xml:space="preserve">Biblioteca PQC vulnerable</w:t>
            </w:r>
          </w:p>
        </w:tc>
        <w:tc>
          <w:tcPr/>
          <w:p>
            <w:pPr>
              <w:pStyle w:val="Compact"/>
              <w:jc w:val="left"/>
            </w:pPr>
            <w:r>
              <w:t xml:space="preserve">Alto</w:t>
            </w:r>
          </w:p>
        </w:tc>
        <w:tc>
          <w:tcPr/>
          <w:p>
            <w:pPr>
              <w:pStyle w:val="Compact"/>
              <w:jc w:val="left"/>
            </w:pPr>
            <w:r>
              <w:t xml:space="preserve">Versiones mantenidas, revisión y actualización</w:t>
            </w:r>
          </w:p>
        </w:tc>
      </w:tr>
      <w:tr>
        <w:tc>
          <w:tcPr/>
          <w:p>
            <w:pPr>
              <w:pStyle w:val="Compact"/>
              <w:jc w:val="left"/>
            </w:pPr>
            <w:r>
              <w:t xml:space="preserve">Firma incompatible entre proveedores</w:t>
            </w:r>
          </w:p>
        </w:tc>
        <w:tc>
          <w:tcPr/>
          <w:p>
            <w:pPr>
              <w:pStyle w:val="Compact"/>
              <w:jc w:val="left"/>
            </w:pPr>
            <w:r>
              <w:t xml:space="preserve">Alto</w:t>
            </w:r>
          </w:p>
        </w:tc>
        <w:tc>
          <w:tcPr/>
          <w:p>
            <w:pPr>
              <w:pStyle w:val="Compact"/>
              <w:jc w:val="left"/>
            </w:pPr>
            <w:r>
              <w:t xml:space="preserve">Vectores de interoperabilidad</w:t>
            </w:r>
          </w:p>
        </w:tc>
      </w:tr>
      <w:tr>
        <w:tc>
          <w:tcPr/>
          <w:p>
            <w:pPr>
              <w:pStyle w:val="Compact"/>
              <w:jc w:val="left"/>
            </w:pPr>
            <w:r>
              <w:t xml:space="preserve">Aumento de almacenamiento</w:t>
            </w:r>
          </w:p>
        </w:tc>
        <w:tc>
          <w:tcPr/>
          <w:p>
            <w:pPr>
              <w:pStyle w:val="Compact"/>
              <w:jc w:val="left"/>
            </w:pPr>
            <w:r>
              <w:t xml:space="preserve">Medio</w:t>
            </w:r>
          </w:p>
        </w:tc>
        <w:tc>
          <w:tcPr/>
          <w:p>
            <w:pPr>
              <w:pStyle w:val="Compact"/>
              <w:jc w:val="left"/>
            </w:pPr>
            <w:r>
              <w:t xml:space="preserve">Medición, compresión donde proceda y planificación</w:t>
            </w:r>
          </w:p>
        </w:tc>
      </w:tr>
      <w:tr>
        <w:tc>
          <w:tcPr/>
          <w:p>
            <w:pPr>
              <w:pStyle w:val="Compact"/>
              <w:jc w:val="left"/>
            </w:pPr>
            <w:r>
              <w:t xml:space="preserve">Error de canonización</w:t>
            </w:r>
          </w:p>
        </w:tc>
        <w:tc>
          <w:tcPr/>
          <w:p>
            <w:pPr>
              <w:pStyle w:val="Compact"/>
              <w:jc w:val="left"/>
            </w:pPr>
            <w:r>
              <w:t xml:space="preserve">Alto</w:t>
            </w:r>
          </w:p>
        </w:tc>
        <w:tc>
          <w:tcPr/>
          <w:p>
            <w:pPr>
              <w:pStyle w:val="Compact"/>
              <w:jc w:val="left"/>
            </w:pPr>
            <w:r>
              <w:t xml:space="preserve">Especificación formal y pruebas cruzadas</w:t>
            </w:r>
          </w:p>
        </w:tc>
      </w:tr>
      <w:tr>
        <w:tc>
          <w:tcPr/>
          <w:p>
            <w:pPr>
              <w:pStyle w:val="Compact"/>
              <w:jc w:val="left"/>
            </w:pPr>
            <w:r>
              <w:t xml:space="preserve">Pérdida de claves históricas</w:t>
            </w:r>
          </w:p>
        </w:tc>
        <w:tc>
          <w:tcPr/>
          <w:p>
            <w:pPr>
              <w:pStyle w:val="Compact"/>
              <w:jc w:val="left"/>
            </w:pPr>
            <w:r>
              <w:t xml:space="preserve">Alto</w:t>
            </w:r>
          </w:p>
        </w:tc>
        <w:tc>
          <w:tcPr/>
          <w:p>
            <w:pPr>
              <w:pStyle w:val="Compact"/>
              <w:jc w:val="left"/>
            </w:pPr>
            <w:r>
              <w:t xml:space="preserve">Backup, HSM/KMS y simulacros</w:t>
            </w:r>
          </w:p>
        </w:tc>
      </w:tr>
      <w:tr>
        <w:tc>
          <w:tcPr/>
          <w:p>
            <w:pPr>
              <w:pStyle w:val="Compact"/>
              <w:jc w:val="left"/>
            </w:pPr>
            <w:r>
              <w:t xml:space="preserve">Confusión entre hash y firma</w:t>
            </w:r>
          </w:p>
        </w:tc>
        <w:tc>
          <w:tcPr/>
          <w:p>
            <w:pPr>
              <w:pStyle w:val="Compact"/>
              <w:jc w:val="left"/>
            </w:pPr>
            <w:r>
              <w:t xml:space="preserve">Medio</w:t>
            </w:r>
          </w:p>
        </w:tc>
        <w:tc>
          <w:tcPr/>
          <w:p>
            <w:pPr>
              <w:pStyle w:val="Compact"/>
              <w:jc w:val="left"/>
            </w:pPr>
            <w:r>
              <w:t xml:space="preserve">Documentación y API explícita</w:t>
            </w:r>
          </w:p>
        </w:tc>
      </w:tr>
      <w:tr>
        <w:tc>
          <w:tcPr/>
          <w:p>
            <w:pPr>
              <w:pStyle w:val="Compact"/>
              <w:jc w:val="left"/>
            </w:pPr>
            <w:r>
              <w:t xml:space="preserve">Promesas comerciales excesivas</w:t>
            </w:r>
          </w:p>
        </w:tc>
        <w:tc>
          <w:tcPr/>
          <w:p>
            <w:pPr>
              <w:pStyle w:val="Compact"/>
              <w:jc w:val="left"/>
            </w:pPr>
            <w:r>
              <w:t xml:space="preserve">Alto</w:t>
            </w:r>
          </w:p>
        </w:tc>
        <w:tc>
          <w:tcPr/>
          <w:p>
            <w:pPr>
              <w:pStyle w:val="Compact"/>
              <w:jc w:val="left"/>
            </w:pPr>
            <w:r>
              <w:t xml:space="preserve">Revisión legal y lenguaje preciso</w:t>
            </w:r>
          </w:p>
        </w:tc>
      </w:tr>
      <w:tr>
        <w:tc>
          <w:tcPr/>
          <w:p>
            <w:pPr>
              <w:pStyle w:val="Compact"/>
              <w:jc w:val="left"/>
            </w:pPr>
            <w:r>
              <w:t xml:space="preserve">Dependencia de proveedor</w:t>
            </w:r>
          </w:p>
        </w:tc>
        <w:tc>
          <w:tcPr/>
          <w:p>
            <w:pPr>
              <w:pStyle w:val="Compact"/>
              <w:jc w:val="left"/>
            </w:pPr>
            <w:r>
              <w:t xml:space="preserve">Medio</w:t>
            </w:r>
          </w:p>
        </w:tc>
        <w:tc>
          <w:tcPr/>
          <w:p>
            <w:pPr>
              <w:pStyle w:val="Compact"/>
              <w:jc w:val="left"/>
            </w:pPr>
            <w:r>
              <w:t xml:space="preserve">Abstracciones y exportación de evidencias</w:t>
            </w:r>
          </w:p>
        </w:tc>
      </w:tr>
    </w:tbl>
    <w:bookmarkEnd w:id="68"/>
    <w:bookmarkStart w:id="69" w:name="lista-de-comprobación-de-producción"/>
    <w:p>
      <w:pPr>
        <w:pStyle w:val="Heading1"/>
      </w:pPr>
      <w:r>
        <w:t xml:space="preserve">18. Lista de comprobación de producción</w:t>
      </w:r>
    </w:p>
    <w:p>
      <w:pPr>
        <w:pStyle w:val="Compact"/>
        <w:numPr>
          <w:ilvl w:val="0"/>
          <w:numId w:val="1022"/>
        </w:numPr>
      </w:pPr>
      <w:r>
        <w:t xml:space="preserve">☐ Política criptográfica aprobada.</w:t>
      </w:r>
    </w:p>
    <w:p>
      <w:pPr>
        <w:pStyle w:val="Compact"/>
        <w:numPr>
          <w:ilvl w:val="0"/>
          <w:numId w:val="1022"/>
        </w:numPr>
      </w:pPr>
      <w:r>
        <w:t xml:space="preserve">☐ Inventario completo.</w:t>
      </w:r>
    </w:p>
    <w:p>
      <w:pPr>
        <w:pStyle w:val="Compact"/>
        <w:numPr>
          <w:ilvl w:val="0"/>
          <w:numId w:val="1022"/>
        </w:numPr>
      </w:pPr>
      <w:r>
        <w:t xml:space="preserve">☐ Canonización especificada.</w:t>
      </w:r>
    </w:p>
    <w:p>
      <w:pPr>
        <w:pStyle w:val="Compact"/>
        <w:numPr>
          <w:ilvl w:val="0"/>
          <w:numId w:val="1022"/>
        </w:numPr>
      </w:pPr>
      <w:r>
        <w:t xml:space="preserve">☐ Hash y firmas separados en el modelo.</w:t>
      </w:r>
    </w:p>
    <w:p>
      <w:pPr>
        <w:pStyle w:val="Compact"/>
        <w:numPr>
          <w:ilvl w:val="0"/>
          <w:numId w:val="1022"/>
        </w:numPr>
      </w:pPr>
      <w:r>
        <w:t xml:space="preserve">☐ Firma híbrida verificada.</w:t>
      </w:r>
    </w:p>
    <w:p>
      <w:pPr>
        <w:pStyle w:val="Compact"/>
        <w:numPr>
          <w:ilvl w:val="0"/>
          <w:numId w:val="1022"/>
        </w:numPr>
      </w:pPr>
      <w:r>
        <w:t xml:space="preserve">☐ Claves privadas fuera del código.</w:t>
      </w:r>
    </w:p>
    <w:p>
      <w:pPr>
        <w:pStyle w:val="Compact"/>
        <w:numPr>
          <w:ilvl w:val="0"/>
          <w:numId w:val="1022"/>
        </w:numPr>
      </w:pPr>
      <w:r>
        <w:t xml:space="preserve">☐ Rotación y revocación probadas.</w:t>
      </w:r>
    </w:p>
    <w:p>
      <w:pPr>
        <w:pStyle w:val="Compact"/>
        <w:numPr>
          <w:ilvl w:val="0"/>
          <w:numId w:val="1022"/>
        </w:numPr>
      </w:pPr>
      <w:r>
        <w:t xml:space="preserve">☐ Logs protegidos.</w:t>
      </w:r>
    </w:p>
    <w:p>
      <w:pPr>
        <w:pStyle w:val="Compact"/>
        <w:numPr>
          <w:ilvl w:val="0"/>
          <w:numId w:val="1022"/>
        </w:numPr>
      </w:pPr>
      <w:r>
        <w:t xml:space="preserve">☐ Backups restaurados con éxito.</w:t>
      </w:r>
    </w:p>
    <w:p>
      <w:pPr>
        <w:pStyle w:val="Compact"/>
        <w:numPr>
          <w:ilvl w:val="0"/>
          <w:numId w:val="1022"/>
        </w:numPr>
      </w:pPr>
      <w:r>
        <w:t xml:space="preserve">☐ Pruebas negativas aprobadas.</w:t>
      </w:r>
    </w:p>
    <w:p>
      <w:pPr>
        <w:pStyle w:val="Compact"/>
        <w:numPr>
          <w:ilvl w:val="0"/>
          <w:numId w:val="1022"/>
        </w:numPr>
      </w:pPr>
      <w:r>
        <w:t xml:space="preserve">☐ Plan de rollback aprobado.</w:t>
      </w:r>
    </w:p>
    <w:p>
      <w:pPr>
        <w:pStyle w:val="Compact"/>
        <w:numPr>
          <w:ilvl w:val="0"/>
          <w:numId w:val="1022"/>
        </w:numPr>
      </w:pPr>
      <w:r>
        <w:t xml:space="preserve">☐ Documentación para clientes publicada.</w:t>
      </w:r>
    </w:p>
    <w:p>
      <w:pPr>
        <w:pStyle w:val="Compact"/>
        <w:numPr>
          <w:ilvl w:val="0"/>
          <w:numId w:val="1022"/>
        </w:numPr>
      </w:pPr>
      <w:r>
        <w:t xml:space="preserve">☐ Revisión legal realizada.</w:t>
      </w:r>
    </w:p>
    <w:p>
      <w:pPr>
        <w:pStyle w:val="Compact"/>
        <w:numPr>
          <w:ilvl w:val="0"/>
          <w:numId w:val="1022"/>
        </w:numPr>
      </w:pPr>
      <w:r>
        <w:t xml:space="preserve">☐ Auditoría independiente programada.</w:t>
      </w:r>
    </w:p>
    <w:bookmarkEnd w:id="69"/>
    <w:bookmarkStart w:id="70" w:name="mensaje-técnico-comercial-aprobado"/>
    <w:p>
      <w:pPr>
        <w:pStyle w:val="Heading1"/>
      </w:pPr>
      <w:r>
        <w:t xml:space="preserve">19. Mensaje técnico-comercial aprobado</w:t>
      </w:r>
    </w:p>
    <w:p>
      <w:pPr>
        <w:pStyle w:val="BlockText"/>
      </w:pPr>
      <w:r>
        <w:t xml:space="preserve">KRONOS 360 utiliza una arquitectura criptográfica evolutiva que combina huellas digitales, firmas híbridas, control de versiones, gestión del ciclo de vida de claves y un plan de transición hacia estándares poscuánticos. El sistema preserva la verificabilidad histórica de los registros y permite actualizar los mecanismos criptográficos sin sobrescribir las evidencias originales.</w:t>
      </w:r>
    </w:p>
    <w:p>
      <w:pPr>
        <w:pStyle w:val="FirstParagraph"/>
      </w:pPr>
      <w:r>
        <w:t xml:space="preserve">No utilizar:</w:t>
      </w:r>
    </w:p>
    <w:p>
      <w:pPr>
        <w:pStyle w:val="Compact"/>
        <w:numPr>
          <w:ilvl w:val="0"/>
          <w:numId w:val="1023"/>
        </w:numPr>
      </w:pPr>
      <w:r>
        <w:t xml:space="preserve">“</w:t>
      </w:r>
      <w:r>
        <w:t xml:space="preserve">Indestructible</w:t>
      </w:r>
      <w:r>
        <w:t xml:space="preserve">”</w:t>
      </w:r>
      <w:r>
        <w:t xml:space="preserve">.</w:t>
      </w:r>
    </w:p>
    <w:p>
      <w:pPr>
        <w:pStyle w:val="Compact"/>
        <w:numPr>
          <w:ilvl w:val="0"/>
          <w:numId w:val="1023"/>
        </w:numPr>
      </w:pPr>
      <w:r>
        <w:t xml:space="preserve">“</w:t>
      </w:r>
      <w:r>
        <w:t xml:space="preserve">Imposible de hackear</w:t>
      </w:r>
      <w:r>
        <w:t xml:space="preserve">”</w:t>
      </w:r>
      <w:r>
        <w:t xml:space="preserve">.</w:t>
      </w:r>
    </w:p>
    <w:p>
      <w:pPr>
        <w:pStyle w:val="Compact"/>
        <w:numPr>
          <w:ilvl w:val="0"/>
          <w:numId w:val="1023"/>
        </w:numPr>
      </w:pPr>
      <w:r>
        <w:t xml:space="preserve">“</w:t>
      </w:r>
      <w:r>
        <w:t xml:space="preserve">Garantizado contra cualquier computadora cuántica</w:t>
      </w:r>
      <w:r>
        <w:t xml:space="preserve">”</w:t>
      </w:r>
      <w:r>
        <w:t xml:space="preserve">.</w:t>
      </w:r>
    </w:p>
    <w:p>
      <w:pPr>
        <w:pStyle w:val="Compact"/>
        <w:numPr>
          <w:ilvl w:val="0"/>
          <w:numId w:val="1023"/>
        </w:numPr>
      </w:pPr>
      <w:r>
        <w:t xml:space="preserve">“</w:t>
      </w:r>
      <w:r>
        <w:t xml:space="preserve">Prueba legal universal</w:t>
      </w:r>
      <w:r>
        <w:t xml:space="preserve">”</w:t>
      </w:r>
      <w:r>
        <w:t xml:space="preserve">.</w:t>
      </w:r>
    </w:p>
    <w:bookmarkEnd w:id="70"/>
    <w:bookmarkStart w:id="71" w:name="referencias-técnicas-recomendadas"/>
    <w:p>
      <w:pPr>
        <w:pStyle w:val="Heading1"/>
      </w:pPr>
      <w:r>
        <w:t xml:space="preserve">20. Referencias técnicas recomendadas</w:t>
      </w:r>
    </w:p>
    <w:p>
      <w:pPr>
        <w:pStyle w:val="Compact"/>
        <w:numPr>
          <w:ilvl w:val="0"/>
          <w:numId w:val="1024"/>
        </w:numPr>
      </w:pPr>
      <w:r>
        <w:t xml:space="preserve">Publicaciones y estándares vigentes de NIST sobre criptografía poscuántica.</w:t>
      </w:r>
    </w:p>
    <w:p>
      <w:pPr>
        <w:pStyle w:val="Compact"/>
        <w:numPr>
          <w:ilvl w:val="0"/>
          <w:numId w:val="1024"/>
        </w:numPr>
      </w:pPr>
      <w:r>
        <w:t xml:space="preserve">FIPS 203 para ML-KEM, cuando se requiera establecimiento de claves.</w:t>
      </w:r>
    </w:p>
    <w:p>
      <w:pPr>
        <w:pStyle w:val="Compact"/>
        <w:numPr>
          <w:ilvl w:val="0"/>
          <w:numId w:val="1024"/>
        </w:numPr>
      </w:pPr>
      <w:r>
        <w:t xml:space="preserve">FIPS 204 para ML-DSA, cuando se requieran firmas digitales.</w:t>
      </w:r>
    </w:p>
    <w:p>
      <w:pPr>
        <w:pStyle w:val="Compact"/>
        <w:numPr>
          <w:ilvl w:val="0"/>
          <w:numId w:val="1024"/>
        </w:numPr>
      </w:pPr>
      <w:r>
        <w:t xml:space="preserve">FIPS 205 para SLH-DSA, cuando la política requiera una familia hash-based.</w:t>
      </w:r>
    </w:p>
    <w:p>
      <w:pPr>
        <w:pStyle w:val="Compact"/>
        <w:numPr>
          <w:ilvl w:val="0"/>
          <w:numId w:val="1024"/>
        </w:numPr>
      </w:pPr>
      <w:r>
        <w:t xml:space="preserve">RFC y perfiles de TLS aplicables.</w:t>
      </w:r>
    </w:p>
    <w:p>
      <w:pPr>
        <w:pStyle w:val="Compact"/>
        <w:numPr>
          <w:ilvl w:val="0"/>
          <w:numId w:val="1024"/>
        </w:numPr>
      </w:pPr>
      <w:r>
        <w:t xml:space="preserve">Políticas internas de gestión de claves, auditoría, retención y respuesta a incidentes.</w:t>
      </w:r>
    </w:p>
    <w:p>
      <w:pPr>
        <w:pStyle w:val="FirstParagraph"/>
      </w:pPr>
      <w:r>
        <w:t xml:space="preserve">Las referencias deben revisarse antes de cada versión del sistema, porque los estándares, nombres, perfiles y recomendaciones operativas pueden actualizarse.</w:t>
      </w:r>
    </w:p>
    <w:bookmarkEnd w:id="71"/>
    <w:bookmarkStart w:id="72" w:name="anexo-a-glosario"/>
    <w:p>
      <w:pPr>
        <w:pStyle w:val="Heading1"/>
      </w:pPr>
      <w:r>
        <w:t xml:space="preserve">Anexo A — Glosario</w:t>
      </w:r>
    </w:p>
    <w:p>
      <w:pPr>
        <w:pStyle w:val="FirstParagraph"/>
      </w:pPr>
      <w:r>
        <w:rPr>
          <w:b/>
          <w:bCs/>
        </w:rPr>
        <w:t xml:space="preserve">Hash:</w:t>
      </w:r>
      <w:r>
        <w:t xml:space="preserve"> </w:t>
      </w:r>
      <w:r>
        <w:t xml:space="preserve">huella matemática de un contenido.</w:t>
      </w:r>
    </w:p>
    <w:p>
      <w:pPr>
        <w:pStyle w:val="BodyText"/>
      </w:pPr>
      <w:r>
        <w:rPr>
          <w:b/>
          <w:bCs/>
        </w:rPr>
        <w:t xml:space="preserve">Firma digital:</w:t>
      </w:r>
      <w:r>
        <w:t xml:space="preserve"> </w:t>
      </w:r>
      <w:r>
        <w:t xml:space="preserve">mecanismo que vincula un contenido con una clave privada y permite verificarlo con una clave pública.</w:t>
      </w:r>
    </w:p>
    <w:p>
      <w:pPr>
        <w:pStyle w:val="BodyText"/>
      </w:pPr>
      <w:r>
        <w:rPr>
          <w:b/>
          <w:bCs/>
        </w:rPr>
        <w:t xml:space="preserve">ML-DSA:</w:t>
      </w:r>
      <w:r>
        <w:t xml:space="preserve"> </w:t>
      </w:r>
      <w:r>
        <w:t xml:space="preserve">estándar de firma digital poscuántica de NIST derivado de CRYSTALS-Dilithium.</w:t>
      </w:r>
    </w:p>
    <w:p>
      <w:pPr>
        <w:pStyle w:val="BodyText"/>
      </w:pPr>
      <w:r>
        <w:rPr>
          <w:b/>
          <w:bCs/>
        </w:rPr>
        <w:t xml:space="preserve">Firma híbrida:</w:t>
      </w:r>
      <w:r>
        <w:t xml:space="preserve"> </w:t>
      </w:r>
      <w:r>
        <w:t xml:space="preserve">combinación de una firma clásica y una poscuántica bajo una política de verificación definida.</w:t>
      </w:r>
    </w:p>
    <w:p>
      <w:pPr>
        <w:pStyle w:val="BodyText"/>
      </w:pPr>
      <w:r>
        <w:rPr>
          <w:b/>
          <w:bCs/>
        </w:rPr>
        <w:t xml:space="preserve">Canonización:</w:t>
      </w:r>
      <w:r>
        <w:t xml:space="preserve"> </w:t>
      </w:r>
      <w:r>
        <w:t xml:space="preserve">transformación determinista de datos antes de calcular el hash o firmar.</w:t>
      </w:r>
    </w:p>
    <w:p>
      <w:pPr>
        <w:pStyle w:val="BodyText"/>
      </w:pPr>
      <w:r>
        <w:rPr>
          <w:b/>
          <w:bCs/>
        </w:rPr>
        <w:t xml:space="preserve">Crypto-agility:</w:t>
      </w:r>
      <w:r>
        <w:t xml:space="preserve"> </w:t>
      </w:r>
      <w:r>
        <w:t xml:space="preserve">capacidad de cambiar algoritmos y parámetros sin rediseñar todo el sistema.</w:t>
      </w:r>
    </w:p>
    <w:p>
      <w:pPr>
        <w:pStyle w:val="BodyText"/>
      </w:pPr>
      <w:r>
        <w:rPr>
          <w:b/>
          <w:bCs/>
        </w:rPr>
        <w:t xml:space="preserve">Evidencia de migración:</w:t>
      </w:r>
      <w:r>
        <w:t xml:space="preserve"> </w:t>
      </w:r>
      <w:r>
        <w:t xml:space="preserve">registro nuevo que documenta la actualización criptográfica de una evidencia histórica.</w:t>
      </w:r>
    </w:p>
    <w:p>
      <w:pPr>
        <w:pStyle w:val="BodyText"/>
      </w:pPr>
      <w:r>
        <w:rPr>
          <w:b/>
          <w:bCs/>
        </w:rPr>
        <w:t xml:space="preserve">Revocación:</w:t>
      </w:r>
      <w:r>
        <w:t xml:space="preserve"> </w:t>
      </w:r>
      <w:r>
        <w:t xml:space="preserve">declaración de que una clave ya no debe aceptarse para nuevas validaciones.</w:t>
      </w:r>
    </w:p>
    <w:bookmarkEnd w:id="72"/>
    <w:bookmarkStart w:id="73" w:name="anexo-b-procedimiento-operativo-resumido"/>
    <w:p>
      <w:pPr>
        <w:pStyle w:val="Heading1"/>
      </w:pPr>
      <w:r>
        <w:t xml:space="preserve">Anexo B — Procedimiento operativo resumido</w:t>
      </w:r>
    </w:p>
    <w:p>
      <w:pPr>
        <w:pStyle w:val="Compact"/>
        <w:numPr>
          <w:ilvl w:val="0"/>
          <w:numId w:val="1025"/>
        </w:numPr>
      </w:pPr>
      <w:r>
        <w:t xml:space="preserve">Recibir documento.</w:t>
      </w:r>
    </w:p>
    <w:p>
      <w:pPr>
        <w:pStyle w:val="Compact"/>
        <w:numPr>
          <w:ilvl w:val="0"/>
          <w:numId w:val="1025"/>
        </w:numPr>
      </w:pPr>
      <w:r>
        <w:t xml:space="preserve">Canonizarlo.</w:t>
      </w:r>
    </w:p>
    <w:p>
      <w:pPr>
        <w:pStyle w:val="Compact"/>
        <w:numPr>
          <w:ilvl w:val="0"/>
          <w:numId w:val="1025"/>
        </w:numPr>
      </w:pPr>
      <w:r>
        <w:t xml:space="preserve">Calcular SHA3-512.</w:t>
      </w:r>
    </w:p>
    <w:p>
      <w:pPr>
        <w:pStyle w:val="Compact"/>
        <w:numPr>
          <w:ilvl w:val="0"/>
          <w:numId w:val="1025"/>
        </w:numPr>
      </w:pPr>
      <w:r>
        <w:t xml:space="preserve">Crear firma clásica.</w:t>
      </w:r>
    </w:p>
    <w:p>
      <w:pPr>
        <w:pStyle w:val="Compact"/>
        <w:numPr>
          <w:ilvl w:val="0"/>
          <w:numId w:val="1025"/>
        </w:numPr>
      </w:pPr>
      <w:r>
        <w:t xml:space="preserve">Crear firma ML-DSA.</w:t>
      </w:r>
    </w:p>
    <w:p>
      <w:pPr>
        <w:pStyle w:val="Compact"/>
        <w:numPr>
          <w:ilvl w:val="0"/>
          <w:numId w:val="1025"/>
        </w:numPr>
      </w:pPr>
      <w:r>
        <w:t xml:space="preserve">Guardar ambas firmas y claves públicas identificadas.</w:t>
      </w:r>
    </w:p>
    <w:p>
      <w:pPr>
        <w:pStyle w:val="Compact"/>
        <w:numPr>
          <w:ilvl w:val="0"/>
          <w:numId w:val="1025"/>
        </w:numPr>
      </w:pPr>
      <w:r>
        <w:t xml:space="preserve">Crear evento de auditoría.</w:t>
      </w:r>
    </w:p>
    <w:p>
      <w:pPr>
        <w:pStyle w:val="Compact"/>
        <w:numPr>
          <w:ilvl w:val="0"/>
          <w:numId w:val="1025"/>
        </w:numPr>
      </w:pPr>
      <w:r>
        <w:t xml:space="preserve">Aplicar evidencia temporal disponible.</w:t>
      </w:r>
    </w:p>
    <w:p>
      <w:pPr>
        <w:pStyle w:val="Compact"/>
        <w:numPr>
          <w:ilvl w:val="0"/>
          <w:numId w:val="1025"/>
        </w:numPr>
      </w:pPr>
      <w:r>
        <w:t xml:space="preserve">Devolver certificado y estado de verificación.</w:t>
      </w:r>
    </w:p>
    <w:p>
      <w:pPr>
        <w:pStyle w:val="Compact"/>
        <w:numPr>
          <w:ilvl w:val="0"/>
          <w:numId w:val="1025"/>
        </w:numPr>
      </w:pPr>
      <w:r>
        <w:t xml:space="preserve">Programar revisión o migración según la política.</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t��cnico de migraci��n criptogr��fica poscu��ntica</dc:title>
  <dc:creator>KRONOS 360</dc:creator>
  <cp:keywords/>
  <dcterms:created xsi:type="dcterms:W3CDTF">2026-08-21T20:16:40Z</dcterms:created>
  <dcterms:modified xsi:type="dcterms:W3CDTF">2026-08-21T20:16:40Z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1.0 — 21 de agosto de 2026</vt:lpwstr>
  </property>
</Properties>
</file>