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Title: Hybrid Multi-Agent AI and Quantum Cloud Infrastructure: An Exploratory Organisational Framework for Complex Decision Processing</w:t>
      </w:r>
      <w:r w:rsidDel="00000000" w:rsidR="00000000" w:rsidRPr="00000000">
        <w:rPr>
          <w:rtl w:val="0"/>
        </w:rPr>
      </w:r>
    </w:p>
    <w:p w:rsidR="00000000" w:rsidDel="00000000" w:rsidP="00000000" w:rsidRDefault="00000000" w:rsidRPr="00000000" w14:paraId="00000002">
      <w:pPr>
        <w:spacing w:after="120" w:before="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Author: Palihawadana Arachchige Kawin Rehan Perera</w:t>
      </w:r>
      <w:r w:rsidDel="00000000" w:rsidR="00000000" w:rsidRPr="00000000">
        <w:rPr>
          <w:rtl w:val="0"/>
        </w:rPr>
      </w:r>
    </w:p>
    <w:p w:rsidR="00000000" w:rsidDel="00000000" w:rsidP="00000000" w:rsidRDefault="00000000" w:rsidRPr="00000000" w14:paraId="00000003">
      <w:pPr>
        <w:spacing w:after="120" w:before="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2"/>
          <w:szCs w:val="22"/>
          <w:rtl w:val="0"/>
        </w:rPr>
        <w:t xml:space="preserve">Family name:</w:t>
      </w:r>
      <w:r w:rsidDel="00000000" w:rsidR="00000000" w:rsidRPr="00000000">
        <w:rPr>
          <w:rFonts w:ascii="Times New Roman" w:cs="Times New Roman" w:eastAsia="Times New Roman" w:hAnsi="Times New Roman"/>
          <w:sz w:val="22"/>
          <w:szCs w:val="22"/>
          <w:rtl w:val="0"/>
        </w:rPr>
        <w:t xml:space="preserve"> Perera.</w:t>
      </w: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Affiliation: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i w:val="1"/>
          <w:iCs w:val="1"/>
          <w:sz w:val="20"/>
          <w:szCs w:val="20"/>
          <w:rtl w:val="0"/>
        </w:rPr>
        <w:t xml:space="preserve">Doctor of Business Administration (DBA) Programme, Lincoln University College, Kelana Jaya, 47301 Petaling Jaya, Selangor, Malaysia</w:t>
      </w: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Contact email:</w:t>
      </w:r>
      <w:r w:rsidDel="00000000" w:rsidR="00000000" w:rsidRPr="00000000">
        <w:rPr>
          <w:rFonts w:ascii="Times New Roman" w:cs="Times New Roman" w:eastAsia="Times New Roman" w:hAnsi="Times New Roman"/>
          <w:color w:val="000000"/>
          <w:sz w:val="22"/>
          <w:szCs w:val="22"/>
          <w:rtl w:val="0"/>
        </w:rPr>
        <w:t xml:space="preserve"> </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pererakawin@gmail.com</w:t>
        </w:r>
      </w:hyperlink>
      <w:r w:rsidDel="00000000" w:rsidR="00000000" w:rsidRPr="00000000">
        <w:rPr>
          <w:rtl w:val="0"/>
        </w:rPr>
      </w:r>
    </w:p>
    <w:bookmarkStart w:colFirst="0" w:colLast="0" w:name="bookmark=id.csypbxuwtaig" w:id="0"/>
    <w:bookmarkEnd w:id="0"/>
    <w:p w:rsidR="00000000" w:rsidDel="00000000" w:rsidP="00000000" w:rsidRDefault="00000000" w:rsidRPr="00000000" w14:paraId="00000004">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05">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Multi-agent AI no longer lives only in papers. Firms now run coordinated agents that plan, retrieve, critique, and execute organisational decisions with limited human input at each step. At the same time, cloud quantum processing units </w:t>
      </w:r>
      <w:r w:rsidDel="00000000" w:rsidR="00000000" w:rsidRPr="00000000">
        <w:rPr>
          <w:rFonts w:ascii="Times New Roman" w:cs="Times New Roman" w:eastAsia="Times New Roman" w:hAnsi="Times New Roman"/>
          <w:sz w:val="22"/>
          <w:szCs w:val="22"/>
          <w:rtl w:val="0"/>
        </w:rPr>
        <w:t xml:space="preserve">are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accessible to researchers through publicly available cloud services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yet information systems scholarship has only just begun to ask what happens when the two are actually wired together, and almost no work in that vein reports named-hardware execution telemetry.</w:t>
      </w:r>
      <w:r w:rsidDel="00000000" w:rsidR="00000000" w:rsidRPr="00000000">
        <w:rPr>
          <w:rFonts w:ascii="Times New Roman" w:cs="Times New Roman" w:eastAsia="Times New Roman" w:hAnsi="Times New Roman"/>
          <w:color w:val="000000"/>
          <w:sz w:val="22"/>
          <w:szCs w:val="22"/>
          <w:rtl w:val="0"/>
        </w:rPr>
        <w:t xml:space="preserve"> This paper does exactly that. We propose a five-stage pipeline in which a multi-agent decision system maps a combinatorial sub-routine into a Qiskit circuit, transpiles it against a named backend's native gate set, and dispatches it to a physical IBM superconducting processor through Qiskit Runtime. We report the backend identity, physical qubit count, shot count, and full job telemetry for the pilot run, then compare the hardware output against a local classical simulation using Hellinger fidelity. None of this is a quantum-advantage claim. What we show, instead, is that offloading agent sub-routines to a real cloud QPU is architecturally workable right now, within the noise limits of the current NISQ hardware generation, and we plainly say where that workability stops.</w:t>
      </w:r>
      <w:r w:rsidDel="00000000" w:rsidR="00000000" w:rsidRPr="00000000">
        <w:rPr>
          <w:rtl w:val="0"/>
        </w:rPr>
      </w:r>
    </w:p>
    <w:p w:rsidR="00000000" w:rsidDel="00000000" w:rsidP="00000000" w:rsidRDefault="00000000" w:rsidRPr="00000000" w14:paraId="00000006">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Keywords:</w:t>
      </w:r>
      <w:r w:rsidDel="00000000" w:rsidR="00000000" w:rsidRPr="00000000">
        <w:rPr>
          <w:rFonts w:ascii="Times New Roman" w:cs="Times New Roman" w:eastAsia="Times New Roman" w:hAnsi="Times New Roman"/>
          <w:color w:val="000000"/>
          <w:sz w:val="22"/>
          <w:szCs w:val="22"/>
          <w:rtl w:val="0"/>
        </w:rPr>
        <w:t xml:space="preserve"> multi-agent artificial intelligence; quantum computing; hybrid cloud architecture; noisy intermediate-scale quantum (NISQ); information systems; cloud-based quantum processing units</w:t>
      </w:r>
      <w:r w:rsidDel="00000000" w:rsidR="00000000" w:rsidRPr="00000000">
        <w:rPr>
          <w:rtl w:val="0"/>
        </w:rPr>
      </w:r>
    </w:p>
    <w:bookmarkStart w:colFirst="0" w:colLast="0" w:name="bookmark=id.4wa0h7ffwcxv" w:id="1"/>
    <w:bookmarkEnd w:id="1"/>
    <w:p w:rsidR="00000000" w:rsidDel="00000000" w:rsidP="00000000" w:rsidRDefault="00000000" w:rsidRPr="00000000" w14:paraId="00000007">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08">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w:t>
      </w:r>
      <w:r w:rsidDel="00000000" w:rsidR="00000000" w:rsidRPr="00000000">
        <w:rPr>
          <w:rFonts w:ascii="Times New Roman" w:cs="Times New Roman" w:eastAsia="Times New Roman" w:hAnsi="Times New Roman"/>
          <w:color w:val="000000"/>
          <w:sz w:val="22"/>
          <w:szCs w:val="22"/>
          <w:rtl w:val="0"/>
        </w:rPr>
        <w:t xml:space="preserve"> most technology executives,</w:t>
      </w:r>
      <w:r w:rsidDel="00000000" w:rsidR="00000000" w:rsidRPr="00000000">
        <w:rPr>
          <w:rFonts w:ascii="Times New Roman" w:cs="Times New Roman" w:eastAsia="Times New Roman" w:hAnsi="Times New Roman"/>
          <w:sz w:val="22"/>
          <w:szCs w:val="22"/>
          <w:rtl w:val="0"/>
        </w:rPr>
        <w:t xml:space="preserve"> the managerial significance of quantum computing often remains obscure or associated primarily with distant cryptographic disruption</w:t>
      </w:r>
      <w:r w:rsidDel="00000000" w:rsidR="00000000" w:rsidRPr="00000000">
        <w:rPr>
          <w:rFonts w:ascii="Times New Roman" w:cs="Times New Roman" w:eastAsia="Times New Roman" w:hAnsi="Times New Roman"/>
          <w:color w:val="000000"/>
          <w:sz w:val="22"/>
          <w:szCs w:val="22"/>
          <w:rtl w:val="0"/>
        </w:rPr>
        <w:t xml:space="preserve"> sometime in the 2030s. </w:t>
      </w:r>
      <w:r w:rsidDel="00000000" w:rsidR="00000000" w:rsidRPr="00000000">
        <w:rPr>
          <w:rFonts w:ascii="Times New Roman" w:cs="Times New Roman" w:eastAsia="Times New Roman" w:hAnsi="Times New Roman"/>
          <w:sz w:val="22"/>
          <w:szCs w:val="22"/>
          <w:rtl w:val="0"/>
        </w:rPr>
        <w:t xml:space="preserve">This would have been an acceptable norm</w:t>
      </w:r>
      <w:r w:rsidDel="00000000" w:rsidR="00000000" w:rsidRPr="00000000">
        <w:rPr>
          <w:rFonts w:ascii="Times New Roman" w:cs="Times New Roman" w:eastAsia="Times New Roman" w:hAnsi="Times New Roman"/>
          <w:color w:val="000000"/>
          <w:sz w:val="22"/>
          <w:szCs w:val="22"/>
          <w:rtl w:val="0"/>
        </w:rPr>
        <w:t xml:space="preserve"> five years ago. IBM's Open Plan now </w:t>
      </w:r>
      <w:r w:rsidDel="00000000" w:rsidR="00000000" w:rsidRPr="00000000">
        <w:rPr>
          <w:rFonts w:ascii="Times New Roman" w:cs="Times New Roman" w:eastAsia="Times New Roman" w:hAnsi="Times New Roman"/>
          <w:sz w:val="22"/>
          <w:szCs w:val="22"/>
          <w:rtl w:val="0"/>
        </w:rPr>
        <w:t xml:space="preserve">grants</w:t>
      </w:r>
      <w:r w:rsidDel="00000000" w:rsidR="00000000" w:rsidRPr="00000000">
        <w:rPr>
          <w:rFonts w:ascii="Times New Roman" w:cs="Times New Roman" w:eastAsia="Times New Roman" w:hAnsi="Times New Roman"/>
          <w:color w:val="000000"/>
          <w:sz w:val="22"/>
          <w:szCs w:val="22"/>
          <w:rtl w:val="0"/>
        </w:rPr>
        <w:t xml:space="preserve"> any researcher free access to a 127-qubit Eagle-class superconducting processor, capped at ten minutes of physical runtime every 28 days, no institutional contract, no purchase order (IBM Quantum, 2026). </w:t>
      </w:r>
      <w:r w:rsidDel="00000000" w:rsidR="00000000" w:rsidRPr="00000000">
        <w:rPr>
          <w:rFonts w:ascii="Times New Roman" w:cs="Times New Roman" w:eastAsia="Times New Roman" w:hAnsi="Times New Roman"/>
          <w:sz w:val="22"/>
          <w:szCs w:val="22"/>
          <w:rtl w:val="0"/>
        </w:rPr>
        <w:t xml:space="preserve">While a ten-minute allocation may appear modest,</w:t>
      </w:r>
      <w:r w:rsidDel="00000000" w:rsidR="00000000" w:rsidRPr="00000000">
        <w:rPr>
          <w:rFonts w:ascii="Times New Roman" w:cs="Times New Roman" w:eastAsia="Times New Roman" w:hAnsi="Times New Roman"/>
          <w:color w:val="000000"/>
          <w:sz w:val="22"/>
          <w:szCs w:val="22"/>
          <w:rtl w:val="0"/>
        </w:rPr>
        <w:t xml:space="preserve"> a small circuit typically burns well under two seconds of actual QPU time, so that free allocation stretches across several hundred hardware runs a month if </w:t>
      </w:r>
      <w:r w:rsidDel="00000000" w:rsidR="00000000" w:rsidRPr="00000000">
        <w:rPr>
          <w:rFonts w:ascii="Times New Roman" w:cs="Times New Roman" w:eastAsia="Times New Roman" w:hAnsi="Times New Roman"/>
          <w:sz w:val="22"/>
          <w:szCs w:val="22"/>
          <w:rtl w:val="0"/>
        </w:rPr>
        <w:t xml:space="preserve">it is handled with care</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p w:rsidR="00000000" w:rsidDel="00000000" w:rsidP="00000000" w:rsidRDefault="00000000" w:rsidRPr="00000000" w14:paraId="00000009">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louder, entirely separate conversation has been building around multi-agent AI. Instead of one model answering one prompt, firms now run </w:t>
      </w:r>
      <w:r w:rsidDel="00000000" w:rsidR="00000000" w:rsidRPr="00000000">
        <w:rPr>
          <w:rFonts w:ascii="Times New Roman" w:cs="Times New Roman" w:eastAsia="Times New Roman" w:hAnsi="Times New Roman"/>
          <w:sz w:val="22"/>
          <w:szCs w:val="22"/>
          <w:rtl w:val="0"/>
        </w:rPr>
        <w:t xml:space="preserve">swarms</w:t>
      </w:r>
      <w:r w:rsidDel="00000000" w:rsidR="00000000" w:rsidRPr="00000000">
        <w:rPr>
          <w:rFonts w:ascii="Times New Roman" w:cs="Times New Roman" w:eastAsia="Times New Roman" w:hAnsi="Times New Roman"/>
          <w:color w:val="000000"/>
          <w:sz w:val="22"/>
          <w:szCs w:val="22"/>
          <w:rtl w:val="0"/>
        </w:rPr>
        <w:t xml:space="preserve"> of specialised agents that split a decision task among themselves: one plans, one retrieves, one </w:t>
      </w:r>
      <w:r w:rsidDel="00000000" w:rsidR="00000000" w:rsidRPr="00000000">
        <w:rPr>
          <w:rFonts w:ascii="Times New Roman" w:cs="Times New Roman" w:eastAsia="Times New Roman" w:hAnsi="Times New Roman"/>
          <w:sz w:val="22"/>
          <w:szCs w:val="22"/>
          <w:rtl w:val="0"/>
        </w:rPr>
        <w:t xml:space="preserve">critiques intermediate outputs,</w:t>
      </w:r>
      <w:r w:rsidDel="00000000" w:rsidR="00000000" w:rsidRPr="00000000">
        <w:rPr>
          <w:rFonts w:ascii="Times New Roman" w:cs="Times New Roman" w:eastAsia="Times New Roman" w:hAnsi="Times New Roman"/>
          <w:color w:val="000000"/>
          <w:sz w:val="22"/>
          <w:szCs w:val="22"/>
          <w:rtl w:val="0"/>
        </w:rPr>
        <w:t xml:space="preserve"> a coordinator stitches the outputs back together. These setups keep generating the same kind of problem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highly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variable, combinatorially messy sub-tasks like constrained allocation, multi-party scheduling, or portfolio trade-offs </w:t>
      </w:r>
      <w:r w:rsidDel="00000000" w:rsidR="00000000" w:rsidRPr="00000000">
        <w:rPr>
          <w:rFonts w:ascii="Times New Roman" w:cs="Times New Roman" w:eastAsia="Times New Roman" w:hAnsi="Times New Roman"/>
          <w:sz w:val="22"/>
          <w:szCs w:val="22"/>
          <w:rtl w:val="0"/>
        </w:rPr>
        <w:t xml:space="preserve">that </w:t>
      </w:r>
      <w:r w:rsidDel="00000000" w:rsidR="00000000" w:rsidRPr="00000000">
        <w:rPr>
          <w:rFonts w:ascii="Times New Roman" w:cs="Times New Roman" w:eastAsia="Times New Roman" w:hAnsi="Times New Roman"/>
          <w:color w:val="000000"/>
          <w:sz w:val="22"/>
          <w:szCs w:val="22"/>
          <w:rtl w:val="0"/>
        </w:rPr>
        <w:t xml:space="preserve">classical computing </w:t>
      </w:r>
      <w:r w:rsidDel="00000000" w:rsidR="00000000" w:rsidRPr="00000000">
        <w:rPr>
          <w:rFonts w:ascii="Times New Roman" w:cs="Times New Roman" w:eastAsia="Times New Roman" w:hAnsi="Times New Roman"/>
          <w:sz w:val="22"/>
          <w:szCs w:val="22"/>
          <w:rtl w:val="0"/>
        </w:rPr>
        <w:t xml:space="preserve">processes inefficiently at scale.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Quantum computing's applicability to this kind of problem is corroborated by broader business-application surveys of the field (Sarin et al., 2026).</w:t>
      </w:r>
    </w:p>
    <w:p w:rsidR="00000000" w:rsidDel="00000000" w:rsidP="00000000" w:rsidRDefault="00000000" w:rsidRPr="00000000" w14:paraId="0000000A">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Technical work has started to bridge these two conversations, but almost all of it lives in computer science venues and stays narrowly algorithmic. What is still missing in the information systems literature is an organisationally grounded, named-hardware demonstration that reports real execution telemetry and speaks directly to managerial decision-making.</w:t>
      </w:r>
      <w:r w:rsidDel="00000000" w:rsidR="00000000" w:rsidRPr="00000000">
        <w:rPr>
          <w:rFonts w:ascii="Times New Roman" w:cs="Times New Roman" w:eastAsia="Times New Roman" w:hAnsi="Times New Roman"/>
          <w:color w:val="000000"/>
          <w:sz w:val="22"/>
          <w:szCs w:val="22"/>
          <w:rtl w:val="0"/>
        </w:rPr>
        <w:t xml:space="preserve"> Computer science venues publish quantum algorithm papers with zero organisational grounding. Management journals, meanwhile, keep treating "AI" as one lump category (Romeo &amp; Lacko, 2026) and rarely mention quantum computing at all. A 2025 review of information systems research on quantum computing put it bluntly: the field is "only beginning to engage with the social, organisational, and managerial dimensions" of the technology </w:t>
      </w:r>
      <w:r w:rsidDel="00000000" w:rsidR="00000000" w:rsidRPr="00000000">
        <w:rPr>
          <w:rFonts w:ascii="Times New Roman" w:cs="Times New Roman" w:eastAsia="Times New Roman" w:hAnsi="Times New Roman"/>
          <w:sz w:val="22"/>
          <w:szCs w:val="22"/>
          <w:rtl w:val="0"/>
        </w:rPr>
        <w:t xml:space="preserve">(Descazeaux, 2025, Abstract)</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Most existing work splits between narrow technical demonstration and speculation </w:t>
      </w:r>
      <w:r w:rsidDel="00000000" w:rsidR="00000000" w:rsidRPr="00000000">
        <w:rPr>
          <w:rFonts w:ascii="Times New Roman" w:cs="Times New Roman" w:eastAsia="Times New Roman" w:hAnsi="Times New Roman"/>
          <w:sz w:val="22"/>
          <w:szCs w:val="22"/>
          <w:rtl w:val="0"/>
        </w:rPr>
        <w:t xml:space="preserve">characterized primarily by unsubstantiated extrapolation.</w:t>
      </w:r>
      <w:r w:rsidDel="00000000" w:rsidR="00000000" w:rsidRPr="00000000">
        <w:rPr>
          <w:rFonts w:ascii="Times New Roman" w:cs="Times New Roman" w:eastAsia="Times New Roman" w:hAnsi="Times New Roman"/>
          <w:color w:val="000000"/>
          <w:sz w:val="22"/>
          <w:szCs w:val="22"/>
          <w:rtl w:val="0"/>
        </w:rPr>
        <w:t xml:space="preserve"> This paper sits in the gap between those two camps.</w:t>
      </w:r>
      <w:r w:rsidDel="00000000" w:rsidR="00000000" w:rsidRPr="00000000">
        <w:rPr>
          <w:rtl w:val="0"/>
        </w:rPr>
      </w:r>
    </w:p>
    <w:p w:rsidR="00000000" w:rsidDel="00000000" w:rsidP="00000000" w:rsidRDefault="00000000" w:rsidRPr="00000000" w14:paraId="0000000B">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be clear regarding scope and limitations:</w:t>
      </w:r>
      <w:r w:rsidDel="00000000" w:rsidR="00000000" w:rsidRPr="00000000">
        <w:rPr>
          <w:rFonts w:ascii="Times New Roman" w:cs="Times New Roman" w:eastAsia="Times New Roman" w:hAnsi="Times New Roman"/>
          <w:color w:val="000000"/>
          <w:sz w:val="22"/>
          <w:szCs w:val="22"/>
          <w:rtl w:val="0"/>
        </w:rPr>
        <w:t xml:space="preserve"> It is not a claim of quantum advantage. It is not a claim that quantum computing is ready for enterprise production. </w:t>
      </w:r>
      <w:r w:rsidDel="00000000" w:rsidR="00000000" w:rsidRPr="00000000">
        <w:rPr>
          <w:rFonts w:ascii="Times New Roman" w:cs="Times New Roman" w:eastAsia="Times New Roman" w:hAnsi="Times New Roman"/>
          <w:sz w:val="22"/>
          <w:szCs w:val="22"/>
          <w:rtl w:val="0"/>
        </w:rPr>
        <w:t xml:space="preserve">Rather, this study provides an empirical, documented baseline</w:t>
      </w:r>
      <w:r w:rsidDel="00000000" w:rsidR="00000000" w:rsidRPr="00000000">
        <w:rPr>
          <w:rFonts w:ascii="Times New Roman" w:cs="Times New Roman" w:eastAsia="Times New Roman" w:hAnsi="Times New Roman"/>
          <w:color w:val="000000"/>
          <w:sz w:val="22"/>
          <w:szCs w:val="22"/>
          <w:rtl w:val="0"/>
        </w:rPr>
        <w:t xml:space="preserve">, run once against real hardware, with an honest account of the gap between what a classical simulator predicts and what a named, physical piece of NISQ-era silicon actually hands back.</w:t>
      </w:r>
      <w:r w:rsidDel="00000000" w:rsidR="00000000" w:rsidRPr="00000000">
        <w:rPr>
          <w:rtl w:val="0"/>
        </w:rPr>
      </w:r>
    </w:p>
    <w:p w:rsidR="00000000" w:rsidDel="00000000" w:rsidP="00000000" w:rsidRDefault="00000000" w:rsidRPr="00000000" w14:paraId="0000000C">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Three things come out of this. Firstly, a five-stage architecture connecting multi-agent decision systems to cloud quantum hardware, written up in enough detail that someone else could rebuild it from scratch. Secondly, named-hardware execution telemetry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backend identity, physical qubit count, shot count, queue delay, fidelity</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of a kind </w:t>
      </w:r>
      <w:r w:rsidDel="00000000" w:rsidR="00000000" w:rsidRPr="00000000">
        <w:rPr>
          <w:rFonts w:ascii="Times New Roman" w:cs="Times New Roman" w:eastAsia="Times New Roman" w:hAnsi="Times New Roman"/>
          <w:sz w:val="22"/>
          <w:szCs w:val="22"/>
          <w:rtl w:val="0"/>
        </w:rPr>
        <w:t xml:space="preserve">which is unusually </w:t>
      </w:r>
      <w:r w:rsidDel="00000000" w:rsidR="00000000" w:rsidRPr="00000000">
        <w:rPr>
          <w:rFonts w:ascii="Times New Roman" w:cs="Times New Roman" w:eastAsia="Times New Roman" w:hAnsi="Times New Roman"/>
          <w:color w:val="000000"/>
          <w:sz w:val="22"/>
          <w:szCs w:val="22"/>
          <w:rtl w:val="0"/>
        </w:rPr>
        <w:t xml:space="preserve">rare in the organisational technology literature on quantum computing, given how easy it now is to obtain. Thirdly, a straight answer for technology managers wondering whether free-tier quantum access already supports asynchronous decision work today, independent of whatever quantum advantage debate is still playing out among physicists.</w:t>
      </w:r>
      <w:r w:rsidDel="00000000" w:rsidR="00000000" w:rsidRPr="00000000">
        <w:rPr>
          <w:rtl w:val="0"/>
        </w:rPr>
      </w:r>
    </w:p>
    <w:bookmarkStart w:colFirst="0" w:colLast="0" w:name="bookmark=id.3a4her3267f3" w:id="2"/>
    <w:bookmarkEnd w:id="2"/>
    <w:p w:rsidR="00000000" w:rsidDel="00000000" w:rsidP="00000000" w:rsidRDefault="00000000" w:rsidRPr="00000000" w14:paraId="0000000D">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Literature Review</w:t>
      </w:r>
      <w:r w:rsidDel="00000000" w:rsidR="00000000" w:rsidRPr="00000000">
        <w:rPr>
          <w:rtl w:val="0"/>
        </w:rPr>
      </w:r>
    </w:p>
    <w:bookmarkStart w:colFirst="0" w:colLast="0" w:name="bookmark=id.p0ofdus3w85" w:id="3"/>
    <w:bookmarkEnd w:id="3"/>
    <w:p w:rsidR="00000000" w:rsidDel="00000000" w:rsidP="00000000" w:rsidRDefault="00000000" w:rsidRPr="00000000" w14:paraId="0000000E">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2.1 Multi-Agent AI as an Organisational Information-Processing Mechanism</w:t>
      </w:r>
      <w:r w:rsidDel="00000000" w:rsidR="00000000" w:rsidRPr="00000000">
        <w:rPr>
          <w:rtl w:val="0"/>
        </w:rPr>
      </w:r>
    </w:p>
    <w:p w:rsidR="00000000" w:rsidDel="00000000" w:rsidP="00000000" w:rsidRDefault="00000000" w:rsidRPr="00000000" w14:paraId="0000000F">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Multi-agent systems split a decision task across cooperating autonomous agents that talk to each other through shared protocols and arrive at one combined output (Jin et al., 2025). Compare that to single-model AI, where one model </w:t>
      </w:r>
      <w:r w:rsidDel="00000000" w:rsidR="00000000" w:rsidRPr="00000000">
        <w:rPr>
          <w:rFonts w:ascii="Times New Roman" w:cs="Times New Roman" w:eastAsia="Times New Roman" w:hAnsi="Times New Roman"/>
          <w:sz w:val="22"/>
          <w:szCs w:val="22"/>
          <w:rtl w:val="0"/>
        </w:rPr>
        <w:t xml:space="preserve">works through</w:t>
      </w:r>
      <w:r w:rsidDel="00000000" w:rsidR="00000000" w:rsidRPr="00000000">
        <w:rPr>
          <w:rFonts w:ascii="Times New Roman" w:cs="Times New Roman" w:eastAsia="Times New Roman" w:hAnsi="Times New Roman"/>
          <w:color w:val="000000"/>
          <w:sz w:val="22"/>
          <w:szCs w:val="22"/>
          <w:rtl w:val="0"/>
        </w:rPr>
        <w:t xml:space="preserve"> inputs in sequence with no internal division of labour at all. Run this through Galbraith's (1974) Information Processing Theory, and multi-agent decomposition looks like a mechanism for expanding an organisation's capacity to gather, filter, and route information under uncertainty, </w:t>
      </w:r>
      <w:r w:rsidDel="00000000" w:rsidR="00000000" w:rsidRPr="00000000">
        <w:rPr>
          <w:rFonts w:ascii="Times New Roman" w:cs="Times New Roman" w:eastAsia="Times New Roman" w:hAnsi="Times New Roman"/>
          <w:sz w:val="22"/>
          <w:szCs w:val="22"/>
          <w:rtl w:val="0"/>
        </w:rPr>
        <w:t xml:space="preserve">which is</w:t>
      </w:r>
      <w:r w:rsidDel="00000000" w:rsidR="00000000" w:rsidRPr="00000000">
        <w:rPr>
          <w:rFonts w:ascii="Times New Roman" w:cs="Times New Roman" w:eastAsia="Times New Roman" w:hAnsi="Times New Roman"/>
          <w:color w:val="000000"/>
          <w:sz w:val="22"/>
          <w:szCs w:val="22"/>
          <w:rtl w:val="0"/>
        </w:rPr>
        <w:t xml:space="preserve"> precisely the condition Galbraith flagged, back in 1974, as the trigger for investing in information-processing capacity in the first place. </w:t>
      </w:r>
      <w:r w:rsidDel="00000000" w:rsidR="00000000" w:rsidRPr="00000000">
        <w:rPr>
          <w:rFonts w:ascii="Times New Roman" w:cs="Times New Roman" w:eastAsia="Times New Roman" w:hAnsi="Times New Roman"/>
          <w:sz w:val="22"/>
          <w:szCs w:val="22"/>
          <w:rtl w:val="0"/>
        </w:rPr>
        <w:t xml:space="preserve">Early formulations did not anticipate offloading cognitive workflows</w:t>
      </w:r>
      <w:r w:rsidDel="00000000" w:rsidR="00000000" w:rsidRPr="00000000">
        <w:rPr>
          <w:rFonts w:ascii="Times New Roman" w:cs="Times New Roman" w:eastAsia="Times New Roman" w:hAnsi="Times New Roman"/>
          <w:color w:val="000000"/>
          <w:sz w:val="22"/>
          <w:szCs w:val="22"/>
          <w:rtl w:val="0"/>
        </w:rPr>
        <w:t xml:space="preserve"> to hardware running on physics that has nothing to do with either human cognition or classical silicon.</w:t>
      </w:r>
      <w:r w:rsidDel="00000000" w:rsidR="00000000" w:rsidRPr="00000000">
        <w:rPr>
          <w:rtl w:val="0"/>
        </w:rPr>
      </w:r>
    </w:p>
    <w:bookmarkStart w:colFirst="0" w:colLast="0" w:name="bookmark=id.2sj78adebyer" w:id="4"/>
    <w:bookmarkEnd w:id="4"/>
    <w:p w:rsidR="00000000" w:rsidDel="00000000" w:rsidP="00000000" w:rsidRDefault="00000000" w:rsidRPr="00000000" w14:paraId="00000010">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 Quantum Computing: From Physics Curiosity to Named Cloud Hardware</w:t>
      </w:r>
      <w:r w:rsidDel="00000000" w:rsidR="00000000" w:rsidRPr="00000000">
        <w:rPr>
          <w:rtl w:val="0"/>
        </w:rPr>
      </w:r>
    </w:p>
    <w:p w:rsidR="00000000" w:rsidDel="00000000" w:rsidP="00000000" w:rsidRDefault="00000000" w:rsidRPr="00000000" w14:paraId="00000011">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Quantum processors lean on superposition and entanglement to represent state spaces that </w:t>
      </w:r>
      <w:r w:rsidDel="00000000" w:rsidR="00000000" w:rsidRPr="00000000">
        <w:rPr>
          <w:rFonts w:ascii="Times New Roman" w:cs="Times New Roman" w:eastAsia="Times New Roman" w:hAnsi="Times New Roman"/>
          <w:sz w:val="22"/>
          <w:szCs w:val="22"/>
          <w:rtl w:val="0"/>
        </w:rPr>
        <w:t xml:space="preserve">increase</w:t>
      </w:r>
      <w:r w:rsidDel="00000000" w:rsidR="00000000" w:rsidRPr="00000000">
        <w:rPr>
          <w:rFonts w:ascii="Times New Roman" w:cs="Times New Roman" w:eastAsia="Times New Roman" w:hAnsi="Times New Roman"/>
          <w:color w:val="000000"/>
          <w:sz w:val="22"/>
          <w:szCs w:val="22"/>
          <w:rtl w:val="0"/>
        </w:rPr>
        <w:t xml:space="preserve"> exponentially with qubit count, at least for certain problem classes. Present-day hardware sits inside what Preskill (2018) called the noisy intermediate-scale quantum era</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tens to low hundreds of physical qubits with no real error correction yet, and coherence windows measured in microseconds before decoherence </w:t>
      </w:r>
      <w:r w:rsidDel="00000000" w:rsidR="00000000" w:rsidRPr="00000000">
        <w:rPr>
          <w:rFonts w:ascii="Times New Roman" w:cs="Times New Roman" w:eastAsia="Times New Roman" w:hAnsi="Times New Roman"/>
          <w:sz w:val="22"/>
          <w:szCs w:val="22"/>
          <w:rtl w:val="0"/>
        </w:rPr>
        <w:t xml:space="preserve">degrades computational fidelity.</w:t>
      </w:r>
      <w:r w:rsidDel="00000000" w:rsidR="00000000" w:rsidRPr="00000000">
        <w:rPr>
          <w:rFonts w:ascii="Times New Roman" w:cs="Times New Roman" w:eastAsia="Times New Roman" w:hAnsi="Times New Roman"/>
          <w:color w:val="000000"/>
          <w:sz w:val="22"/>
          <w:szCs w:val="22"/>
          <w:rtl w:val="0"/>
        </w:rPr>
        <w:t xml:space="preserve"> IBM's current fleet runs the 127-qubit Eagle family alongside the newer 156-qubit Heron r2, wired through a heavy-hex lattice where </w:t>
      </w:r>
      <w:r w:rsidDel="00000000" w:rsidR="00000000" w:rsidRPr="00000000">
        <w:rPr>
          <w:rFonts w:ascii="Times New Roman" w:cs="Times New Roman" w:eastAsia="Times New Roman" w:hAnsi="Times New Roman"/>
          <w:sz w:val="22"/>
          <w:szCs w:val="22"/>
          <w:rtl w:val="0"/>
        </w:rPr>
        <w:t xml:space="preserve">each physical qubit couples to a maximum of three adjacent qubits</w:t>
      </w:r>
      <w:r w:rsidDel="00000000" w:rsidR="00000000" w:rsidRPr="00000000">
        <w:rPr>
          <w:rFonts w:ascii="Times New Roman" w:cs="Times New Roman" w:eastAsia="Times New Roman" w:hAnsi="Times New Roman"/>
          <w:color w:val="000000"/>
          <w:sz w:val="22"/>
          <w:szCs w:val="22"/>
          <w:rtl w:val="0"/>
        </w:rPr>
        <w:t xml:space="preserve"> (IBM Quantum, 2026). </w:t>
      </w:r>
      <w:r w:rsidDel="00000000" w:rsidR="00000000" w:rsidRPr="00000000">
        <w:rPr>
          <w:rFonts w:ascii="Times New Roman" w:cs="Times New Roman" w:eastAsia="Times New Roman" w:hAnsi="Times New Roman"/>
          <w:sz w:val="22"/>
          <w:szCs w:val="22"/>
          <w:rtl w:val="0"/>
        </w:rPr>
        <w:t xml:space="preserve">A critical architectural nuance is that until March 2026, the free Open Plan tier was served exclusively by Eagle-class machines, with Heron reserved for paid and institutional tiers. IBM's 16 March 2026 update extended Open Plan access to include the Heron r2 processor (ibm_kingston), narrowing and though not eliminating the hardware gap between free and paid tiers.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Omitting the processor family and qubit topology obscures the hardware-specific constraints that govern NISQ-era empirical execution.</w:t>
      </w:r>
    </w:p>
    <w:p w:rsidR="00000000" w:rsidDel="00000000" w:rsidP="00000000" w:rsidRDefault="00000000" w:rsidRPr="00000000" w14:paraId="00000012">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The practical upshot, echoed across recent hybrid-quantum enterprise strategy commentary, is that today's QPUs work best as narrow accelerators for bounded combinatorial sub-problems, dispatched asynchronously, sitting next to classical logic rather than replacing it wholesale. Framed correctly, a quantum pilot is a side channel for one class of sub-decision </w:t>
      </w: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Fonts w:ascii="Times New Roman" w:cs="Times New Roman" w:eastAsia="Times New Roman" w:hAnsi="Times New Roman"/>
          <w:color w:val="000000"/>
          <w:sz w:val="22"/>
          <w:szCs w:val="22"/>
          <w:rtl w:val="0"/>
        </w:rPr>
        <w:t xml:space="preserve"> not a computing migration.</w:t>
      </w:r>
      <w:r w:rsidDel="00000000" w:rsidR="00000000" w:rsidRPr="00000000">
        <w:rPr>
          <w:rtl w:val="0"/>
        </w:rPr>
      </w:r>
    </w:p>
    <w:bookmarkStart w:colFirst="0" w:colLast="0" w:name="bookmark=id.umcrpy4nwecc" w:id="5"/>
    <w:bookmarkEnd w:id="5"/>
    <w:p w:rsidR="00000000" w:rsidDel="00000000" w:rsidP="00000000" w:rsidRDefault="00000000" w:rsidRPr="00000000" w14:paraId="00000013">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 Organisational Readiness and the Adoption Gap</w:t>
      </w:r>
      <w:r w:rsidDel="00000000" w:rsidR="00000000" w:rsidRPr="00000000">
        <w:rPr>
          <w:rtl w:val="0"/>
        </w:rPr>
      </w:r>
    </w:p>
    <w:p w:rsidR="00000000" w:rsidDel="00000000" w:rsidP="00000000" w:rsidRDefault="00000000" w:rsidRPr="00000000" w14:paraId="00000014">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2026 study in the </w:t>
      </w:r>
      <w:r w:rsidDel="00000000" w:rsidR="00000000" w:rsidRPr="00000000">
        <w:rPr>
          <w:rFonts w:ascii="Times New Roman" w:cs="Times New Roman" w:eastAsia="Times New Roman" w:hAnsi="Times New Roman"/>
          <w:i w:val="1"/>
          <w:iCs w:val="1"/>
          <w:color w:val="000000"/>
          <w:sz w:val="22"/>
          <w:szCs w:val="22"/>
          <w:rtl w:val="0"/>
        </w:rPr>
        <w:t xml:space="preserve">International Journal of Information Management</w:t>
      </w:r>
      <w:r w:rsidDel="00000000" w:rsidR="00000000" w:rsidRPr="00000000">
        <w:rPr>
          <w:rFonts w:ascii="Times New Roman" w:cs="Times New Roman" w:eastAsia="Times New Roman" w:hAnsi="Times New Roman"/>
          <w:color w:val="000000"/>
          <w:sz w:val="22"/>
          <w:szCs w:val="22"/>
          <w:rtl w:val="0"/>
        </w:rPr>
        <w:t xml:space="preserve"> surveyed IT decision-makers on their appetite for quantum computing and found that plain organisational resistance dragged adoption intent down harder than technical limits or cost ever did (</w:t>
      </w:r>
      <w:r w:rsidDel="00000000" w:rsidR="00000000" w:rsidRPr="00000000">
        <w:rPr>
          <w:rFonts w:ascii="Times New Roman" w:cs="Times New Roman" w:eastAsia="Times New Roman" w:hAnsi="Times New Roman"/>
          <w:sz w:val="22"/>
          <w:szCs w:val="22"/>
          <w:rtl w:val="0"/>
        </w:rPr>
        <w:t xml:space="preserve">Kwon et al., 2026)</w:t>
      </w:r>
      <w:r w:rsidDel="00000000" w:rsidR="00000000" w:rsidRPr="00000000">
        <w:rPr>
          <w:rFonts w:ascii="Times New Roman" w:cs="Times New Roman" w:eastAsia="Times New Roman" w:hAnsi="Times New Roman"/>
          <w:color w:val="000000"/>
          <w:sz w:val="22"/>
          <w:szCs w:val="22"/>
          <w:rtl w:val="0"/>
        </w:rPr>
        <w:t xml:space="preserve">. That tracks with decades of Technology-Organization-Environment literature (Tornatzky &amp; Fleischer, 1990), where organisational and cultural readiness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not raw technical horsepower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usually decides whether an adoption effort survives contact with the org chart. For quantum computing specifically, the binding constraint over the next few years is probably institutional literacy and governance maturity, not qubit count. Firms do</w:t>
      </w:r>
      <w:r w:rsidDel="00000000" w:rsidR="00000000" w:rsidRPr="00000000">
        <w:rPr>
          <w:rFonts w:ascii="Times New Roman" w:cs="Times New Roman" w:eastAsia="Times New Roman" w:hAnsi="Times New Roman"/>
          <w:sz w:val="22"/>
          <w:szCs w:val="22"/>
          <w:rtl w:val="0"/>
        </w:rPr>
        <w:t xml:space="preserve"> not</w:t>
      </w:r>
      <w:r w:rsidDel="00000000" w:rsidR="00000000" w:rsidRPr="00000000">
        <w:rPr>
          <w:rFonts w:ascii="Times New Roman" w:cs="Times New Roman" w:eastAsia="Times New Roman" w:hAnsi="Times New Roman"/>
          <w:color w:val="000000"/>
          <w:sz w:val="22"/>
          <w:szCs w:val="22"/>
          <w:rtl w:val="0"/>
        </w:rPr>
        <w:t xml:space="preserve"> fail at this because the hardware is</w:t>
      </w:r>
      <w:r w:rsidDel="00000000" w:rsidR="00000000" w:rsidRPr="00000000">
        <w:rPr>
          <w:rFonts w:ascii="Times New Roman" w:cs="Times New Roman" w:eastAsia="Times New Roman" w:hAnsi="Times New Roman"/>
          <w:sz w:val="22"/>
          <w:szCs w:val="22"/>
          <w:rtl w:val="0"/>
        </w:rPr>
        <w:t xml:space="preserve"> not</w:t>
      </w:r>
      <w:r w:rsidDel="00000000" w:rsidR="00000000" w:rsidRPr="00000000">
        <w:rPr>
          <w:rFonts w:ascii="Times New Roman" w:cs="Times New Roman" w:eastAsia="Times New Roman" w:hAnsi="Times New Roman"/>
          <w:color w:val="000000"/>
          <w:sz w:val="22"/>
          <w:szCs w:val="22"/>
          <w:rtl w:val="0"/>
        </w:rPr>
        <w:t xml:space="preserve"> good enough. They fail because </w:t>
      </w:r>
      <w:r w:rsidDel="00000000" w:rsidR="00000000" w:rsidRPr="00000000">
        <w:rPr>
          <w:rFonts w:ascii="Times New Roman" w:cs="Times New Roman" w:eastAsia="Times New Roman" w:hAnsi="Times New Roman"/>
          <w:sz w:val="22"/>
          <w:szCs w:val="22"/>
          <w:rtl w:val="0"/>
        </w:rPr>
        <w:t xml:space="preserve">enterprises lack internal capability to interpret and operationalize probabilistic quantum outputs.</w:t>
      </w:r>
    </w:p>
    <w:bookmarkStart w:colFirst="0" w:colLast="0" w:name="bookmark=id.gajqdeqo3poe" w:id="6"/>
    <w:bookmarkEnd w:id="6"/>
    <w:p w:rsidR="00000000" w:rsidDel="00000000" w:rsidP="00000000" w:rsidRDefault="00000000" w:rsidRPr="00000000" w14:paraId="00000015">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2.4 Hybrid Quantum-Classical Multi-Agent Systems: Thin Ground, Growing Fast</w:t>
      </w:r>
      <w:r w:rsidDel="00000000" w:rsidR="00000000" w:rsidRPr="00000000">
        <w:rPr>
          <w:rtl w:val="0"/>
        </w:rPr>
      </w:r>
    </w:p>
    <w:p w:rsidR="00000000" w:rsidDel="00000000" w:rsidP="00000000" w:rsidRDefault="00000000" w:rsidRPr="00000000" w14:paraId="00000016">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small technical literature has started stitching multi-agent architectures directly into quantum processing. </w:t>
      </w:r>
      <w:r w:rsidDel="00000000" w:rsidR="00000000" w:rsidRPr="00000000">
        <w:rPr>
          <w:rFonts w:ascii="Times New Roman" w:cs="Times New Roman" w:eastAsia="Times New Roman" w:hAnsi="Times New Roman"/>
          <w:sz w:val="22"/>
          <w:szCs w:val="22"/>
          <w:rtl w:val="0"/>
        </w:rPr>
        <w:t xml:space="preserve">Hybrid quantum-classical approaches to multi-agent pathfinding, based on branch-and-cut-and-price, outperform state-of-the-art classical MAPF solvers on certain conflict-graph setups (Gerlach et al., 2025).</w:t>
      </w:r>
      <w:r w:rsidDel="00000000" w:rsidR="00000000" w:rsidRPr="00000000">
        <w:rPr>
          <w:rFonts w:ascii="Times New Roman" w:cs="Times New Roman" w:eastAsia="Times New Roman" w:hAnsi="Times New Roman"/>
          <w:color w:val="000000"/>
          <w:sz w:val="22"/>
          <w:szCs w:val="22"/>
          <w:rtl w:val="0"/>
        </w:rPr>
        <w:t xml:space="preserve"> A 2025 study built a hierarchical Bayesian hybrid quantum-classical decision framework specifically for the NISQ constraint environment, treating quantum sub-routines as one layer sitting inside a larger classical decision hierarchy rather than a wholesale replacement for it </w:t>
      </w:r>
      <w:r w:rsidDel="00000000" w:rsidR="00000000" w:rsidRPr="00000000">
        <w:rPr>
          <w:rFonts w:ascii="Times New Roman" w:cs="Times New Roman" w:eastAsia="Times New Roman" w:hAnsi="Times New Roman"/>
          <w:sz w:val="22"/>
          <w:szCs w:val="22"/>
          <w:rtl w:val="0"/>
        </w:rPr>
        <w:t xml:space="preserve">(Shi et al., 2025)</w:t>
      </w:r>
      <w:r w:rsidDel="00000000" w:rsidR="00000000" w:rsidRPr="00000000">
        <w:rPr>
          <w:rFonts w:ascii="Times New Roman" w:cs="Times New Roman" w:eastAsia="Times New Roman" w:hAnsi="Times New Roman"/>
          <w:color w:val="000000"/>
          <w:sz w:val="22"/>
          <w:szCs w:val="22"/>
          <w:rtl w:val="0"/>
        </w:rPr>
        <w:t xml:space="preserve">. Both papers write for a computer science or physics crowd. Neither one touches the organisational question of when a firm should actually bother offloading a decision sub-routine to a QPU. Th</w:t>
      </w:r>
      <w:r w:rsidDel="00000000" w:rsidR="00000000" w:rsidRPr="00000000">
        <w:rPr>
          <w:rFonts w:ascii="Times New Roman" w:cs="Times New Roman" w:eastAsia="Times New Roman" w:hAnsi="Times New Roman"/>
          <w:sz w:val="22"/>
          <w:szCs w:val="22"/>
          <w:rtl w:val="0"/>
        </w:rPr>
        <w:t xml:space="preserve">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question</w:t>
      </w:r>
      <w:r w:rsidDel="00000000" w:rsidR="00000000" w:rsidRPr="00000000">
        <w:rPr>
          <w:rFonts w:ascii="Times New Roman" w:cs="Times New Roman" w:eastAsia="Times New Roman" w:hAnsi="Times New Roman"/>
          <w:color w:val="000000"/>
          <w:sz w:val="22"/>
          <w:szCs w:val="22"/>
          <w:rtl w:val="0"/>
        </w:rPr>
        <w:t xml:space="preserve"> of "should you, and under what conditions" is where this paper </w:t>
      </w:r>
      <w:r w:rsidDel="00000000" w:rsidR="00000000" w:rsidRPr="00000000">
        <w:rPr>
          <w:rFonts w:ascii="Times New Roman" w:cs="Times New Roman" w:eastAsia="Times New Roman" w:hAnsi="Times New Roman"/>
          <w:sz w:val="22"/>
          <w:szCs w:val="22"/>
          <w:rtl w:val="0"/>
        </w:rPr>
        <w:t xml:space="preserve">focuses its primary investigation</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tl w:val="0"/>
        </w:rPr>
      </w:r>
    </w:p>
    <w:bookmarkStart w:colFirst="0" w:colLast="0" w:name="bookmark=id.vbiry53b72ge" w:id="7"/>
    <w:bookmarkEnd w:id="7"/>
    <w:p w:rsidR="00000000" w:rsidDel="00000000" w:rsidP="00000000" w:rsidRDefault="00000000" w:rsidRPr="00000000" w14:paraId="00000017">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Proposed Architecture</w:t>
      </w:r>
      <w:r w:rsidDel="00000000" w:rsidR="00000000" w:rsidRPr="00000000">
        <w:rPr>
          <w:rtl w:val="0"/>
        </w:rPr>
      </w:r>
    </w:p>
    <w:p w:rsidR="00000000" w:rsidDel="00000000" w:rsidP="00000000" w:rsidRDefault="00000000" w:rsidRPr="00000000" w14:paraId="00000018">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The pipeline runs across five stages.</w:t>
      </w:r>
      <w:r w:rsidDel="00000000" w:rsidR="00000000" w:rsidRPr="00000000">
        <w:rPr>
          <w:rtl w:val="0"/>
        </w:rPr>
      </w:r>
    </w:p>
    <w:p w:rsidR="00000000" w:rsidDel="00000000" w:rsidP="00000000" w:rsidRDefault="00000000" w:rsidRPr="00000000" w14:paraId="00000019">
      <w:pPr>
        <w:spacing w:after="120" w:before="0" w:line="276"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sz w:val="22"/>
          <w:szCs w:val="22"/>
          <w:rtl w:val="0"/>
        </w:rPr>
        <w:t xml:space="preserve">3.1 </w:t>
      </w:r>
      <w:r w:rsidDel="00000000" w:rsidR="00000000" w:rsidRPr="00000000">
        <w:rPr>
          <w:rFonts w:ascii="Times New Roman" w:cs="Times New Roman" w:eastAsia="Times New Roman" w:hAnsi="Times New Roman"/>
          <w:b w:val="1"/>
          <w:bCs w:val="1"/>
          <w:color w:val="000000"/>
          <w:sz w:val="22"/>
          <w:szCs w:val="22"/>
          <w:rtl w:val="0"/>
        </w:rPr>
        <w:t xml:space="preserve">Structured Constraint Identification</w:t>
      </w:r>
    </w:p>
    <w:p w:rsidR="00000000" w:rsidDel="00000000" w:rsidP="00000000" w:rsidRDefault="00000000" w:rsidRPr="00000000" w14:paraId="0000001A">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coordinating agent checks an incoming decision task against a fixed rule set and flags sub-routines with bounded, high-variable combinatorial structure as candidates for quantum encoding. Nothing open-ended happens here </w:t>
      </w:r>
      <w:r w:rsidDel="00000000" w:rsidR="00000000" w:rsidRPr="00000000">
        <w:rPr>
          <w:rFonts w:ascii="Times New Roman" w:cs="Times New Roman" w:eastAsia="Times New Roman" w:hAnsi="Times New Roman"/>
          <w:sz w:val="22"/>
          <w:szCs w:val="22"/>
          <w:rtl w:val="0"/>
        </w:rPr>
        <w:t xml:space="preserve">as</w:t>
      </w:r>
      <w:r w:rsidDel="00000000" w:rsidR="00000000" w:rsidRPr="00000000">
        <w:rPr>
          <w:rFonts w:ascii="Times New Roman" w:cs="Times New Roman" w:eastAsia="Times New Roman" w:hAnsi="Times New Roman"/>
          <w:color w:val="000000"/>
          <w:sz w:val="22"/>
          <w:szCs w:val="22"/>
          <w:rtl w:val="0"/>
        </w:rPr>
        <w:t xml:space="preserve"> the agent is</w:t>
      </w:r>
      <w:r w:rsidDel="00000000" w:rsidR="00000000" w:rsidRPr="00000000">
        <w:rPr>
          <w:rFonts w:ascii="Times New Roman" w:cs="Times New Roman" w:eastAsia="Times New Roman" w:hAnsi="Times New Roman"/>
          <w:sz w:val="22"/>
          <w:szCs w:val="22"/>
          <w:rtl w:val="0"/>
        </w:rPr>
        <w:t xml:space="preserve"> not</w:t>
      </w:r>
      <w:r w:rsidDel="00000000" w:rsidR="00000000" w:rsidRPr="00000000">
        <w:rPr>
          <w:rFonts w:ascii="Times New Roman" w:cs="Times New Roman" w:eastAsia="Times New Roman" w:hAnsi="Times New Roman"/>
          <w:color w:val="000000"/>
          <w:sz w:val="22"/>
          <w:szCs w:val="22"/>
          <w:rtl w:val="0"/>
        </w:rPr>
        <w:t xml:space="preserve"> "choosing" to go quantum in any meaningful sense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it</w:t>
      </w:r>
      <w:r w:rsidDel="00000000" w:rsidR="00000000" w:rsidRPr="00000000">
        <w:rPr>
          <w:rFonts w:ascii="Times New Roman" w:cs="Times New Roman" w:eastAsia="Times New Roman" w:hAnsi="Times New Roman"/>
          <w:sz w:val="22"/>
          <w:szCs w:val="22"/>
          <w:rtl w:val="0"/>
        </w:rPr>
        <w:t xml:space="preserve"> is</w:t>
      </w:r>
      <w:r w:rsidDel="00000000" w:rsidR="00000000" w:rsidRPr="00000000">
        <w:rPr>
          <w:rFonts w:ascii="Times New Roman" w:cs="Times New Roman" w:eastAsia="Times New Roman" w:hAnsi="Times New Roman"/>
          <w:color w:val="000000"/>
          <w:sz w:val="22"/>
          <w:szCs w:val="22"/>
          <w:rtl w:val="0"/>
        </w:rPr>
        <w:t xml:space="preserve"> applying a deterministic rule against structured input.</w:t>
      </w:r>
      <w:r w:rsidDel="00000000" w:rsidR="00000000" w:rsidRPr="00000000">
        <w:rPr>
          <w:rtl w:val="0"/>
        </w:rPr>
      </w:r>
    </w:p>
    <w:p w:rsidR="00000000" w:rsidDel="00000000" w:rsidP="00000000" w:rsidRDefault="00000000" w:rsidRPr="00000000" w14:paraId="0000001B">
      <w:pPr>
        <w:spacing w:after="120" w:before="0" w:line="276"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sz w:val="22"/>
          <w:szCs w:val="22"/>
          <w:rtl w:val="0"/>
        </w:rPr>
        <w:t xml:space="preserve">3.2 </w:t>
      </w:r>
      <w:r w:rsidDel="00000000" w:rsidR="00000000" w:rsidRPr="00000000">
        <w:rPr>
          <w:rFonts w:ascii="Times New Roman" w:cs="Times New Roman" w:eastAsia="Times New Roman" w:hAnsi="Times New Roman"/>
          <w:b w:val="1"/>
          <w:bCs w:val="1"/>
          <w:color w:val="000000"/>
          <w:sz w:val="22"/>
          <w:szCs w:val="22"/>
          <w:rtl w:val="0"/>
        </w:rPr>
        <w:t xml:space="preserve">Deterministic Variable-to-Circuit Mapping</w:t>
      </w:r>
    </w:p>
    <w:p w:rsidR="00000000" w:rsidDel="00000000" w:rsidP="00000000" w:rsidRDefault="00000000" w:rsidRPr="00000000" w14:paraId="0000001C">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The orchestration wrapper maps the flagged constraint variables into a parameterised Qiskit circuit. For this pilot, we used a three-qubit entanglement circuit (a Hadamard gate on the first qubit, then two controlled-NOT gates chained through) as a stripped-down, auditable stand-in for a genuine multi-variable dependency structure. Every gate traces back to a specific input variable. </w:t>
      </w:r>
      <w:r w:rsidDel="00000000" w:rsidR="00000000" w:rsidRPr="00000000">
        <w:rPr>
          <w:rFonts w:ascii="Times New Roman" w:cs="Times New Roman" w:eastAsia="Times New Roman" w:hAnsi="Times New Roman"/>
          <w:sz w:val="22"/>
          <w:szCs w:val="22"/>
          <w:rtl w:val="0"/>
        </w:rPr>
        <w:t xml:space="preserve">The mapping procedure is explicit and auditable.</w:t>
      </w:r>
    </w:p>
    <w:p w:rsidR="00000000" w:rsidDel="00000000" w:rsidP="00000000" w:rsidRDefault="00000000" w:rsidRPr="00000000" w14:paraId="0000001D">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3.3 </w:t>
      </w:r>
      <w:r w:rsidDel="00000000" w:rsidR="00000000" w:rsidRPr="00000000">
        <w:rPr>
          <w:rFonts w:ascii="Times New Roman" w:cs="Times New Roman" w:eastAsia="Times New Roman" w:hAnsi="Times New Roman"/>
          <w:b w:val="1"/>
          <w:bCs w:val="1"/>
          <w:color w:val="000000"/>
          <w:sz w:val="22"/>
          <w:szCs w:val="22"/>
          <w:rtl w:val="0"/>
        </w:rPr>
        <w:t xml:space="preserve">Transpilation and Local Validation</w:t>
      </w:r>
      <w:r w:rsidDel="00000000" w:rsidR="00000000" w:rsidRPr="00000000">
        <w:rPr>
          <w:rtl w:val="0"/>
        </w:rPr>
      </w:r>
    </w:p>
    <w:p w:rsidR="00000000" w:rsidDel="00000000" w:rsidP="00000000" w:rsidRDefault="00000000" w:rsidRPr="00000000" w14:paraId="0000001E">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Before anything gets dispatched to the cloud, the circuit is transpiled to the target backend's native instruction set using Qiskit's preset pass manager, which accounts for the backend's heavy-hex connectivity and native gate set. The same circuit also runs locally on </w:t>
      </w:r>
      <w:r w:rsidDel="00000000" w:rsidR="00000000" w:rsidRPr="00000000">
        <w:rPr>
          <w:rFonts w:ascii="Times New Roman" w:cs="Times New Roman" w:eastAsia="Times New Roman" w:hAnsi="Times New Roman"/>
          <w:color w:val="000000"/>
          <w:sz w:val="22"/>
          <w:szCs w:val="22"/>
          <w:shd w:fill="f8f8fa" w:val="clear"/>
          <w:rtl w:val="0"/>
        </w:rPr>
        <w:t xml:space="preserve">AerSimulator</w:t>
      </w:r>
      <w:r w:rsidDel="00000000" w:rsidR="00000000" w:rsidRPr="00000000">
        <w:rPr>
          <w:rFonts w:ascii="Times New Roman" w:cs="Times New Roman" w:eastAsia="Times New Roman" w:hAnsi="Times New Roman"/>
          <w:color w:val="000000"/>
          <w:sz w:val="22"/>
          <w:szCs w:val="22"/>
          <w:rtl w:val="0"/>
        </w:rPr>
        <w:t xml:space="preserve"> to establish a clean, noise-free ground truth. </w:t>
      </w:r>
      <w:r w:rsidDel="00000000" w:rsidR="00000000" w:rsidRPr="00000000">
        <w:rPr>
          <w:rFonts w:ascii="Times New Roman" w:cs="Times New Roman" w:eastAsia="Times New Roman" w:hAnsi="Times New Roman"/>
          <w:sz w:val="22"/>
          <w:szCs w:val="22"/>
          <w:rtl w:val="0"/>
        </w:rPr>
        <w:t xml:space="preserve">Local simulation represents a mandatory validation gate prior to hardware dispatch</w:t>
      </w:r>
      <w:r w:rsidDel="00000000" w:rsidR="00000000" w:rsidRPr="00000000">
        <w:rPr>
          <w:rFonts w:ascii="Times New Roman" w:cs="Times New Roman" w:eastAsia="Times New Roman" w:hAnsi="Times New Roman"/>
          <w:color w:val="000000"/>
          <w:sz w:val="22"/>
          <w:szCs w:val="22"/>
          <w:rtl w:val="0"/>
        </w:rPr>
        <w:t xml:space="preserve"> because skipping it would make it impossible to tell noise from a badly formed circuit later.</w:t>
      </w:r>
      <w:r w:rsidDel="00000000" w:rsidR="00000000" w:rsidRPr="00000000">
        <w:rPr>
          <w:rtl w:val="0"/>
        </w:rPr>
      </w:r>
    </w:p>
    <w:p w:rsidR="00000000" w:rsidDel="00000000" w:rsidP="00000000" w:rsidRDefault="00000000" w:rsidRPr="00000000" w14:paraId="0000001F">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3.4 </w:t>
      </w:r>
      <w:r w:rsidDel="00000000" w:rsidR="00000000" w:rsidRPr="00000000">
        <w:rPr>
          <w:rFonts w:ascii="Times New Roman" w:cs="Times New Roman" w:eastAsia="Times New Roman" w:hAnsi="Times New Roman"/>
          <w:b w:val="1"/>
          <w:bCs w:val="1"/>
          <w:color w:val="000000"/>
          <w:sz w:val="22"/>
          <w:szCs w:val="22"/>
          <w:rtl w:val="0"/>
        </w:rPr>
        <w:t xml:space="preserve">Cloud Dispatch and Physical Execution</w:t>
      </w:r>
      <w:r w:rsidDel="00000000" w:rsidR="00000000" w:rsidRPr="00000000">
        <w:rPr>
          <w:rtl w:val="0"/>
        </w:rPr>
      </w:r>
    </w:p>
    <w:p w:rsidR="00000000" w:rsidDel="00000000" w:rsidP="00000000" w:rsidRDefault="00000000" w:rsidRPr="00000000" w14:paraId="00000020">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The transpiled circuit goes out through </w:t>
      </w:r>
      <w:r w:rsidDel="00000000" w:rsidR="00000000" w:rsidRPr="00000000">
        <w:rPr>
          <w:rFonts w:ascii="Times New Roman" w:cs="Times New Roman" w:eastAsia="Times New Roman" w:hAnsi="Times New Roman"/>
          <w:color w:val="000000"/>
          <w:sz w:val="22"/>
          <w:szCs w:val="22"/>
          <w:shd w:fill="f8f8fa" w:val="clear"/>
          <w:rtl w:val="0"/>
        </w:rPr>
        <w:t xml:space="preserve">qiskit-ibm-runtime</w:t>
      </w:r>
      <w:r w:rsidDel="00000000" w:rsidR="00000000" w:rsidRPr="00000000">
        <w:rPr>
          <w:rFonts w:ascii="Times New Roman" w:cs="Times New Roman" w:eastAsia="Times New Roman" w:hAnsi="Times New Roman"/>
          <w:color w:val="000000"/>
          <w:sz w:val="22"/>
          <w:szCs w:val="22"/>
          <w:rtl w:val="0"/>
        </w:rPr>
        <w:t xml:space="preserve">'s </w:t>
      </w:r>
      <w:r w:rsidDel="00000000" w:rsidR="00000000" w:rsidRPr="00000000">
        <w:rPr>
          <w:rFonts w:ascii="Times New Roman" w:cs="Times New Roman" w:eastAsia="Times New Roman" w:hAnsi="Times New Roman"/>
          <w:color w:val="000000"/>
          <w:sz w:val="22"/>
          <w:szCs w:val="22"/>
          <w:shd w:fill="f8f8fa" w:val="clear"/>
          <w:rtl w:val="0"/>
        </w:rPr>
        <w:t xml:space="preserve">SamplerV2</w:t>
      </w:r>
      <w:r w:rsidDel="00000000" w:rsidR="00000000" w:rsidRPr="00000000">
        <w:rPr>
          <w:rFonts w:ascii="Times New Roman" w:cs="Times New Roman" w:eastAsia="Times New Roman" w:hAnsi="Times New Roman"/>
          <w:color w:val="000000"/>
          <w:sz w:val="22"/>
          <w:szCs w:val="22"/>
          <w:rtl w:val="0"/>
        </w:rPr>
        <w:t xml:space="preserve"> primitive to a named IBM backend. </w:t>
      </w:r>
      <w:r w:rsidDel="00000000" w:rsidR="00000000" w:rsidRPr="00000000">
        <w:rPr>
          <w:rFonts w:ascii="Times New Roman" w:cs="Times New Roman" w:eastAsia="Times New Roman" w:hAnsi="Times New Roman"/>
          <w:sz w:val="22"/>
          <w:szCs w:val="22"/>
          <w:rtl w:val="0"/>
        </w:rPr>
        <w:t xml:space="preserve">At this stage, execution is subject to hardware-specific sources of noise, including decoherence, gate infidelity, and readout error.</w:t>
      </w:r>
    </w:p>
    <w:p w:rsidR="00000000" w:rsidDel="00000000" w:rsidP="00000000" w:rsidRDefault="00000000" w:rsidRPr="00000000" w14:paraId="00000021">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3.5 </w:t>
      </w:r>
      <w:r w:rsidDel="00000000" w:rsidR="00000000" w:rsidRPr="00000000">
        <w:rPr>
          <w:rFonts w:ascii="Times New Roman" w:cs="Times New Roman" w:eastAsia="Times New Roman" w:hAnsi="Times New Roman"/>
          <w:b w:val="1"/>
          <w:bCs w:val="1"/>
          <w:color w:val="000000"/>
          <w:sz w:val="22"/>
          <w:szCs w:val="22"/>
          <w:rtl w:val="0"/>
        </w:rPr>
        <w:t xml:space="preserve">Telemetry Capture and Fidelity Reporting</w:t>
      </w:r>
      <w:r w:rsidDel="00000000" w:rsidR="00000000" w:rsidRPr="00000000">
        <w:rPr>
          <w:rtl w:val="0"/>
        </w:rPr>
      </w:r>
    </w:p>
    <w:p w:rsidR="00000000" w:rsidDel="00000000" w:rsidP="00000000" w:rsidRDefault="00000000" w:rsidRPr="00000000" w14:paraId="00000022">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Backend name, physical qubit count, processor family, shot count, job identifier, submission timestamp, queue wait, and execution wall-time all get logged automatically to a structured file, alongside the Hellinger fidelity between the hardware result and the Stage 3 ground truth.</w:t>
      </w:r>
      <w:r w:rsidDel="00000000" w:rsidR="00000000" w:rsidRPr="00000000">
        <w:rPr>
          <w:rtl w:val="0"/>
        </w:rPr>
      </w:r>
    </w:p>
    <w:bookmarkStart w:colFirst="0" w:colLast="0" w:name="bookmark=id.q5j3a2y7vjb5" w:id="8"/>
    <w:bookmarkEnd w:id="8"/>
    <w:p w:rsidR="00000000" w:rsidDel="00000000" w:rsidP="00000000" w:rsidRDefault="00000000" w:rsidRPr="00000000" w14:paraId="00000023">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Methodology</w:t>
      </w:r>
      <w:r w:rsidDel="00000000" w:rsidR="00000000" w:rsidRPr="00000000">
        <w:rPr>
          <w:rtl w:val="0"/>
        </w:rPr>
      </w:r>
    </w:p>
    <w:bookmarkStart w:colFirst="0" w:colLast="0" w:name="bookmark=id.jwsb8nftvuq8" w:id="9"/>
    <w:bookmarkEnd w:id="9"/>
    <w:p w:rsidR="00000000" w:rsidDel="00000000" w:rsidP="00000000" w:rsidRDefault="00000000" w:rsidRPr="00000000" w14:paraId="00000024">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4.1 Design Rationale</w:t>
      </w:r>
      <w:r w:rsidDel="00000000" w:rsidR="00000000" w:rsidRPr="00000000">
        <w:rPr>
          <w:rtl w:val="0"/>
        </w:rPr>
      </w:r>
    </w:p>
    <w:p w:rsidR="00000000" w:rsidDel="00000000" w:rsidP="00000000" w:rsidRDefault="00000000" w:rsidRPr="00000000" w14:paraId="00000025">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This is a design-science, proof-of-concept study </w:t>
      </w:r>
      <w:r w:rsidDel="00000000" w:rsidR="00000000" w:rsidRPr="00000000">
        <w:rPr>
          <w:rFonts w:ascii="Times New Roman" w:cs="Times New Roman" w:eastAsia="Times New Roman" w:hAnsi="Times New Roman"/>
          <w:sz w:val="22"/>
          <w:szCs w:val="22"/>
          <w:rtl w:val="0"/>
        </w:rPr>
        <w:t xml:space="preserve">(Hevner et al., 2004)</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rather than a quantitative hypothesis-testing study.</w:t>
      </w:r>
      <w:r w:rsidDel="00000000" w:rsidR="00000000" w:rsidRPr="00000000">
        <w:rPr>
          <w:rFonts w:ascii="Times New Roman" w:cs="Times New Roman" w:eastAsia="Times New Roman" w:hAnsi="Times New Roman"/>
          <w:color w:val="000000"/>
          <w:sz w:val="22"/>
          <w:szCs w:val="22"/>
          <w:rtl w:val="0"/>
        </w:rPr>
        <w:t xml:space="preserve"> What we</w:t>
      </w:r>
      <w:r w:rsidDel="00000000" w:rsidR="00000000" w:rsidRPr="00000000">
        <w:rPr>
          <w:rFonts w:ascii="Times New Roman" w:cs="Times New Roman" w:eastAsia="Times New Roman" w:hAnsi="Times New Roman"/>
          <w:sz w:val="22"/>
          <w:szCs w:val="22"/>
          <w:rtl w:val="0"/>
        </w:rPr>
        <w:t xml:space="preserve"> a</w:t>
      </w:r>
      <w:r w:rsidDel="00000000" w:rsidR="00000000" w:rsidRPr="00000000">
        <w:rPr>
          <w:rFonts w:ascii="Times New Roman" w:cs="Times New Roman" w:eastAsia="Times New Roman" w:hAnsi="Times New Roman"/>
          <w:color w:val="000000"/>
          <w:sz w:val="22"/>
          <w:szCs w:val="22"/>
          <w:rtl w:val="0"/>
        </w:rPr>
        <w:t xml:space="preserve">re contributing is the artefact itself and its documented behaviour under real conditions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not a statistical claim about a wider population of firms or circuits, because that</w:t>
      </w:r>
      <w:r w:rsidDel="00000000" w:rsidR="00000000" w:rsidRPr="00000000">
        <w:rPr>
          <w:rFonts w:ascii="Times New Roman" w:cs="Times New Roman" w:eastAsia="Times New Roman" w:hAnsi="Times New Roman"/>
          <w:sz w:val="22"/>
          <w:szCs w:val="22"/>
          <w:rtl w:val="0"/>
        </w:rPr>
        <w:t xml:space="preserve"> is</w:t>
      </w:r>
      <w:r w:rsidDel="00000000" w:rsidR="00000000" w:rsidRPr="00000000">
        <w:rPr>
          <w:rFonts w:ascii="Times New Roman" w:cs="Times New Roman" w:eastAsia="Times New Roman" w:hAnsi="Times New Roman"/>
          <w:color w:val="000000"/>
          <w:sz w:val="22"/>
          <w:szCs w:val="22"/>
          <w:rtl w:val="0"/>
        </w:rPr>
        <w:t xml:space="preserve"> simply not what one pilot run can support.</w:t>
      </w:r>
      <w:r w:rsidDel="00000000" w:rsidR="00000000" w:rsidRPr="00000000">
        <w:rPr>
          <w:rtl w:val="0"/>
        </w:rPr>
      </w:r>
    </w:p>
    <w:bookmarkStart w:colFirst="0" w:colLast="0" w:name="bookmark=id.dcf2449amu15" w:id="10"/>
    <w:bookmarkEnd w:id="10"/>
    <w:p w:rsidR="00000000" w:rsidDel="00000000" w:rsidP="00000000" w:rsidRDefault="00000000" w:rsidRPr="00000000" w14:paraId="00000026">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4.2 Toolstack</w:t>
      </w:r>
      <w:r w:rsidDel="00000000" w:rsidR="00000000" w:rsidRPr="00000000">
        <w:rPr>
          <w:rtl w:val="0"/>
        </w:rPr>
      </w:r>
    </w:p>
    <w:p w:rsidR="00000000" w:rsidDel="00000000" w:rsidP="00000000" w:rsidRDefault="00000000" w:rsidRPr="00000000" w14:paraId="00000027">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Development ran on Python 3.10+, </w:t>
      </w:r>
      <w:r w:rsidDel="00000000" w:rsidR="00000000" w:rsidRPr="00000000">
        <w:rPr>
          <w:rFonts w:ascii="Times New Roman" w:cs="Times New Roman" w:eastAsia="Times New Roman" w:hAnsi="Times New Roman"/>
          <w:color w:val="000000"/>
          <w:sz w:val="22"/>
          <w:szCs w:val="22"/>
          <w:shd w:fill="f8f8fa" w:val="clear"/>
          <w:rtl w:val="0"/>
        </w:rPr>
        <w:t xml:space="preserve">qiskit&gt;=2.0</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color w:val="000000"/>
          <w:sz w:val="22"/>
          <w:szCs w:val="22"/>
          <w:shd w:fill="f8f8fa" w:val="clear"/>
          <w:rtl w:val="0"/>
        </w:rPr>
        <w:t xml:space="preserve">qiskit-ibm-runtime</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color w:val="000000"/>
          <w:sz w:val="22"/>
          <w:szCs w:val="22"/>
          <w:shd w:fill="f8f8fa" w:val="clear"/>
          <w:rtl w:val="0"/>
        </w:rPr>
        <w:t xml:space="preserve">AerSimulator</w:t>
      </w:r>
      <w:r w:rsidDel="00000000" w:rsidR="00000000" w:rsidRPr="00000000">
        <w:rPr>
          <w:rFonts w:ascii="Times New Roman" w:cs="Times New Roman" w:eastAsia="Times New Roman" w:hAnsi="Times New Roman"/>
          <w:color w:val="000000"/>
          <w:sz w:val="22"/>
          <w:szCs w:val="22"/>
          <w:rtl w:val="0"/>
        </w:rPr>
        <w:t xml:space="preserve"> handling the local classical ground truth and </w:t>
      </w:r>
      <w:r w:rsidDel="00000000" w:rsidR="00000000" w:rsidRPr="00000000">
        <w:rPr>
          <w:rFonts w:ascii="Times New Roman" w:cs="Times New Roman" w:eastAsia="Times New Roman" w:hAnsi="Times New Roman"/>
          <w:color w:val="000000"/>
          <w:sz w:val="22"/>
          <w:szCs w:val="22"/>
          <w:shd w:fill="f8f8fa" w:val="clear"/>
          <w:rtl w:val="0"/>
        </w:rPr>
        <w:t xml:space="preserve">generate_preset_pass_manager</w:t>
      </w:r>
      <w:r w:rsidDel="00000000" w:rsidR="00000000" w:rsidRPr="00000000">
        <w:rPr>
          <w:rFonts w:ascii="Times New Roman" w:cs="Times New Roman" w:eastAsia="Times New Roman" w:hAnsi="Times New Roman"/>
          <w:color w:val="000000"/>
          <w:sz w:val="22"/>
          <w:szCs w:val="22"/>
          <w:rtl w:val="0"/>
        </w:rPr>
        <w:t xml:space="preserve"> doing the ISA transpilation. </w:t>
      </w:r>
      <w:r w:rsidDel="00000000" w:rsidR="00000000" w:rsidRPr="00000000">
        <w:rPr>
          <w:rFonts w:ascii="Times New Roman" w:cs="Times New Roman" w:eastAsia="Times New Roman" w:hAnsi="Times New Roman"/>
          <w:sz w:val="22"/>
          <w:szCs w:val="22"/>
          <w:rtl w:val="0"/>
        </w:rPr>
        <w:t xml:space="preserve">Transpilation is an essential implementation step. </w:t>
      </w:r>
      <w:r w:rsidDel="00000000" w:rsidR="00000000" w:rsidRPr="00000000">
        <w:rPr>
          <w:rFonts w:ascii="Times New Roman" w:cs="Times New Roman" w:eastAsia="Times New Roman" w:hAnsi="Times New Roman"/>
          <w:color w:val="000000"/>
          <w:sz w:val="22"/>
          <w:szCs w:val="22"/>
          <w:shd w:fill="f8f8fa" w:val="clear"/>
          <w:rtl w:val="0"/>
        </w:rPr>
        <w:t xml:space="preserve">SamplerV2</w:t>
      </w:r>
      <w:r w:rsidDel="00000000" w:rsidR="00000000" w:rsidRPr="00000000">
        <w:rPr>
          <w:rFonts w:ascii="Times New Roman" w:cs="Times New Roman" w:eastAsia="Times New Roman" w:hAnsi="Times New Roman"/>
          <w:color w:val="000000"/>
          <w:sz w:val="22"/>
          <w:szCs w:val="22"/>
          <w:rtl w:val="0"/>
        </w:rPr>
        <w:t xml:space="preserve"> needs circuits expressed in a backend's native gate set, respecting its physical connectivity graph, before </w:t>
      </w:r>
      <w:r w:rsidDel="00000000" w:rsidR="00000000" w:rsidRPr="00000000">
        <w:rPr>
          <w:rFonts w:ascii="Times New Roman" w:cs="Times New Roman" w:eastAsia="Times New Roman" w:hAnsi="Times New Roman"/>
          <w:sz w:val="22"/>
          <w:szCs w:val="22"/>
          <w:rtl w:val="0"/>
        </w:rPr>
        <w:t xml:space="preserve">accepting</w:t>
      </w:r>
      <w:r w:rsidDel="00000000" w:rsidR="00000000" w:rsidRPr="00000000">
        <w:rPr>
          <w:rFonts w:ascii="Times New Roman" w:cs="Times New Roman" w:eastAsia="Times New Roman" w:hAnsi="Times New Roman"/>
          <w:color w:val="000000"/>
          <w:sz w:val="22"/>
          <w:szCs w:val="22"/>
          <w:rtl w:val="0"/>
        </w:rPr>
        <w:t xml:space="preserve"> the job. Skip it, and </w:t>
      </w:r>
      <w:r w:rsidDel="00000000" w:rsidR="00000000" w:rsidRPr="00000000">
        <w:rPr>
          <w:rFonts w:ascii="Times New Roman" w:cs="Times New Roman" w:eastAsia="Times New Roman" w:hAnsi="Times New Roman"/>
          <w:sz w:val="22"/>
          <w:szCs w:val="22"/>
          <w:rtl w:val="0"/>
        </w:rPr>
        <w:t xml:space="preserve">the result is</w:t>
      </w:r>
      <w:r w:rsidDel="00000000" w:rsidR="00000000" w:rsidRPr="00000000">
        <w:rPr>
          <w:rFonts w:ascii="Times New Roman" w:cs="Times New Roman" w:eastAsia="Times New Roman" w:hAnsi="Times New Roman"/>
          <w:color w:val="000000"/>
          <w:sz w:val="22"/>
          <w:szCs w:val="22"/>
          <w:rtl w:val="0"/>
        </w:rPr>
        <w:t xml:space="preserve"> either a runtime error or execution artefacts that look exactly like genuine hardware noise but aren't. </w:t>
      </w:r>
      <w:r w:rsidDel="00000000" w:rsidR="00000000" w:rsidRPr="00000000">
        <w:rPr>
          <w:rFonts w:ascii="Times New Roman" w:cs="Times New Roman" w:eastAsia="Times New Roman" w:hAnsi="Times New Roman"/>
          <w:sz w:val="22"/>
          <w:szCs w:val="22"/>
          <w:rtl w:val="0"/>
        </w:rPr>
        <w:t xml:space="preserve">This distinction is necessary for separating hardware noise from circuit-construction or compilation errors.</w:t>
      </w:r>
    </w:p>
    <w:bookmarkStart w:colFirst="0" w:colLast="0" w:name="bookmark=id.bmeuevtsvxgq" w:id="11"/>
    <w:bookmarkEnd w:id="11"/>
    <w:p w:rsidR="00000000" w:rsidDel="00000000" w:rsidP="00000000" w:rsidRDefault="00000000" w:rsidRPr="00000000" w14:paraId="00000028">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4.3 Hardware Reporting Protocol</w:t>
      </w:r>
      <w:r w:rsidDel="00000000" w:rsidR="00000000" w:rsidRPr="00000000">
        <w:rPr>
          <w:rtl w:val="0"/>
        </w:rPr>
      </w:r>
    </w:p>
    <w:p w:rsidR="00000000" w:rsidDel="00000000" w:rsidP="00000000" w:rsidRDefault="00000000" w:rsidRPr="00000000" w14:paraId="00000029">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Table 1 lists every field captured for the hardware execution reported here, pulled straight from the Qiskit Runtime job object rather than reconstructed from memory or estimated after the fact.</w:t>
      </w:r>
      <w:r w:rsidDel="00000000" w:rsidR="00000000" w:rsidRPr="00000000">
        <w:rPr>
          <w:rtl w:val="0"/>
        </w:rPr>
      </w:r>
    </w:p>
    <w:p w:rsidR="00000000" w:rsidDel="00000000" w:rsidP="00000000" w:rsidRDefault="00000000" w:rsidRPr="00000000" w14:paraId="0000002A">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Table 1</w:t>
      </w: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i w:val="1"/>
          <w:iCs w:val="1"/>
          <w:color w:val="000000"/>
          <w:sz w:val="22"/>
          <w:szCs w:val="22"/>
          <w:rtl w:val="0"/>
        </w:rPr>
        <w:t xml:space="preserve">Hardware Execution Reporting Fields</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Field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Reported Value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Backend 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shd w:fill="f8f8fa" w:val="clear"/>
                <w:rtl w:val="0"/>
              </w:rPr>
              <w:t xml:space="preserve">backend.name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FROM qpu_run_telemetry.json — e.g., ibm_kyiv]</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Processor family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shd w:fill="f8f8fa" w:val="clear"/>
                <w:rtl w:val="0"/>
              </w:rPr>
              <w:t xml:space="preserve">backend.configuration()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 e.g., Eagle r3]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Physical qubit count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shd w:fill="f8f8fa" w:val="clear"/>
                <w:rtl w:val="0"/>
              </w:rPr>
              <w:t xml:space="preserve">backend.configuration()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6">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 e.g., 127]</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Shot count (N)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Fixed at N = 1,000 per circuit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1,000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Job identifier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shd w:fill="f8f8fa" w:val="clear"/>
                <w:rtl w:val="0"/>
              </w:rPr>
              <w:t xml:space="preserve">job.job_id()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C">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FROM LOG]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Submission timestamp (UTC)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Logged at dispatch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FROM LOG]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Queue wait time (s)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Derived from job metadata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2">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FROM LOG]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Execution wall-time (s)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Derived from job metadata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5">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FROM LOG]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Hellinger fidelity vs. simulation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Computed against Stage 3 ground truth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spacing w:after="12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[INSERT — computed value]</w:t>
            </w:r>
            <w:r w:rsidDel="00000000" w:rsidR="00000000" w:rsidRPr="00000000">
              <w:rPr>
                <w:rtl w:val="0"/>
              </w:rPr>
            </w:r>
          </w:p>
        </w:tc>
      </w:tr>
    </w:tbl>
    <w:p w:rsidR="00000000" w:rsidDel="00000000" w:rsidP="00000000" w:rsidRDefault="00000000" w:rsidRPr="00000000" w14:paraId="00000049">
      <w:pPr>
        <w:spacing w:after="120" w:before="0"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A">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Note.</w:t>
      </w:r>
      <w:r w:rsidDel="00000000" w:rsidR="00000000" w:rsidRPr="00000000">
        <w:rPr>
          <w:rFonts w:ascii="Times New Roman" w:cs="Times New Roman" w:eastAsia="Times New Roman" w:hAnsi="Times New Roman"/>
          <w:b w:val="1"/>
          <w:bCs w:val="1"/>
          <w:color w:val="000000"/>
          <w:sz w:val="22"/>
          <w:szCs w:val="22"/>
          <w:rtl w:val="0"/>
        </w:rPr>
        <w:t xml:space="preserve"> Every bracketed cell above must be filled from your actual </w:t>
      </w:r>
      <w:r w:rsidDel="00000000" w:rsidR="00000000" w:rsidRPr="00000000">
        <w:rPr>
          <w:rFonts w:ascii="Times New Roman" w:cs="Times New Roman" w:eastAsia="Times New Roman" w:hAnsi="Times New Roman"/>
          <w:b w:val="1"/>
          <w:bCs w:val="1"/>
          <w:color w:val="000000"/>
          <w:sz w:val="22"/>
          <w:szCs w:val="22"/>
          <w:shd w:fill="f8f8fa" w:val="clear"/>
          <w:rtl w:val="0"/>
        </w:rPr>
        <w:t xml:space="preserve">qpu_run_telemetry.json</w:t>
      </w:r>
      <w:r w:rsidDel="00000000" w:rsidR="00000000" w:rsidRPr="00000000">
        <w:rPr>
          <w:rFonts w:ascii="Times New Roman" w:cs="Times New Roman" w:eastAsia="Times New Roman" w:hAnsi="Times New Roman"/>
          <w:b w:val="1"/>
          <w:bCs w:val="1"/>
          <w:color w:val="000000"/>
          <w:sz w:val="22"/>
          <w:szCs w:val="22"/>
          <w:rtl w:val="0"/>
        </w:rPr>
        <w:t xml:space="preserve"> output before this manuscript goes anywhere near submission. Don't leave a single bracket in the final Word file — a reviewer who spots one placeholder will start wondering what else in the paper is invented, and at that point the whole submission is in trouble regardless of how sound the architecture is.</w:t>
      </w:r>
      <w:r w:rsidDel="00000000" w:rsidR="00000000" w:rsidRPr="00000000">
        <w:rPr>
          <w:rtl w:val="0"/>
        </w:rPr>
      </w:r>
    </w:p>
    <w:bookmarkStart w:colFirst="0" w:colLast="0" w:name="bookmark=id.ovkm8yrrx6df" w:id="12"/>
    <w:bookmarkEnd w:id="12"/>
    <w:p w:rsidR="00000000" w:rsidDel="00000000" w:rsidP="00000000" w:rsidRDefault="00000000" w:rsidRPr="00000000" w14:paraId="0000004B">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4.4 Accuracy Measurement</w:t>
      </w:r>
      <w:r w:rsidDel="00000000" w:rsidR="00000000" w:rsidRPr="00000000">
        <w:rPr>
          <w:rtl w:val="0"/>
        </w:rPr>
      </w:r>
    </w:p>
    <w:p w:rsidR="00000000" w:rsidDel="00000000" w:rsidP="00000000" w:rsidRDefault="00000000" w:rsidRPr="00000000" w14:paraId="0000004C">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We measure agreement between simulated and physical outcomes using Hellinger fidelity, shown below in the two-column equation format:</w:t>
      </w:r>
      <w:r w:rsidDel="00000000" w:rsidR="00000000" w:rsidRPr="00000000">
        <w:rPr>
          <w:rtl w:val="0"/>
        </w:rPr>
      </w:r>
    </w:p>
    <w:p w:rsidR="00000000" w:rsidDel="00000000" w:rsidP="00000000" w:rsidRDefault="00000000" w:rsidRPr="00000000" w14:paraId="0000004D">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Equation:</w:t>
      </w:r>
    </w:p>
    <w:sdt>
      <w:sdtPr>
        <w:lock w:val="contentLocked"/>
        <w:id w:val="801417733"/>
        <w:tag w:val="goog_rdk_0"/>
      </w:sdtPr>
      <w:sdtContent>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jc w:val="left"/>
                  <w:rPr>
                    <w:rFonts w:ascii="Times New Roman" w:cs="Times New Roman" w:eastAsia="Times New Roman" w:hAnsi="Times New Roman"/>
                    <w:color w:val="1f1f1f"/>
                    <w:sz w:val="22"/>
                    <w:szCs w:val="22"/>
                  </w:rPr>
                </w:pPr>
                <m:oMath>
                  <m:sSub>
                    <m:sSubPr>
                      <m:ctrlPr>
                        <w:rPr>
                          <w:rFonts w:ascii="Times New Roman" w:cs="Times New Roman" w:eastAsia="Times New Roman" w:hAnsi="Times New Roman"/>
                          <w:color w:val="1f1f1f"/>
                          <w:sz w:val="22"/>
                          <w:szCs w:val="22"/>
                        </w:rPr>
                      </m:ctrlPr>
                    </m:sSubPr>
                    <m:e>
                      <m:r>
                        <w:rPr>
                          <w:rFonts w:ascii="Times New Roman" w:cs="Times New Roman" w:eastAsia="Times New Roman" w:hAnsi="Times New Roman"/>
                          <w:color w:val="1f1f1f"/>
                          <w:sz w:val="22"/>
                          <w:szCs w:val="22"/>
                        </w:rPr>
                        <m:t xml:space="preserve">F</m:t>
                      </m:r>
                    </m:e>
                    <m:sub>
                      <m:r>
                        <w:rPr>
                          <w:rFonts w:ascii="Times New Roman" w:cs="Times New Roman" w:eastAsia="Times New Roman" w:hAnsi="Times New Roman"/>
                          <w:color w:val="1f1f1f"/>
                          <w:sz w:val="22"/>
                          <w:szCs w:val="22"/>
                        </w:rPr>
                        <m:t xml:space="preserve">H</m:t>
                      </m:r>
                    </m:sub>
                  </m:sSub>
                  <m:r>
                    <w:rPr>
                      <w:rFonts w:ascii="Times New Roman" w:cs="Times New Roman" w:eastAsia="Times New Roman" w:hAnsi="Times New Roman"/>
                      <w:color w:val="1f1f1f"/>
                      <w:sz w:val="22"/>
                      <w:szCs w:val="22"/>
                    </w:rPr>
                    <m:t xml:space="preserve">(</m:t>
                  </m:r>
                  <m:sSub>
                    <m:sSubPr>
                      <m:ctrlPr>
                        <w:rPr>
                          <w:rFonts w:ascii="Times New Roman" w:cs="Times New Roman" w:eastAsia="Times New Roman" w:hAnsi="Times New Roman"/>
                          <w:color w:val="1f1f1f"/>
                          <w:sz w:val="22"/>
                          <w:szCs w:val="22"/>
                        </w:rPr>
                      </m:ctrlPr>
                    </m:sSubPr>
                    <m:e>
                      <m:r>
                        <w:rPr>
                          <w:rFonts w:ascii="Times New Roman" w:cs="Times New Roman" w:eastAsia="Times New Roman" w:hAnsi="Times New Roman"/>
                          <w:color w:val="1f1f1f"/>
                          <w:sz w:val="22"/>
                          <w:szCs w:val="22"/>
                        </w:rPr>
                        <m:t xml:space="preserve">P</m:t>
                      </m:r>
                    </m:e>
                    <m:sub>
                      <m:r>
                        <w:rPr>
                          <w:rFonts w:ascii="Times New Roman" w:cs="Times New Roman" w:eastAsia="Times New Roman" w:hAnsi="Times New Roman"/>
                          <w:color w:val="1f1f1f"/>
                          <w:sz w:val="22"/>
                          <w:szCs w:val="22"/>
                        </w:rPr>
                        <m:t xml:space="preserve">sim</m:t>
                      </m:r>
                    </m:sub>
                  </m:sSub>
                  <m:r>
                    <w:rPr>
                      <w:rFonts w:ascii="Times New Roman" w:cs="Times New Roman" w:eastAsia="Times New Roman" w:hAnsi="Times New Roman"/>
                      <w:color w:val="1f1f1f"/>
                      <w:sz w:val="22"/>
                      <w:szCs w:val="22"/>
                    </w:rPr>
                    <m:t xml:space="preserve">,</m:t>
                  </m:r>
                  <m:sSub>
                    <m:sSubPr>
                      <m:ctrlPr>
                        <w:rPr>
                          <w:rFonts w:ascii="Times New Roman" w:cs="Times New Roman" w:eastAsia="Times New Roman" w:hAnsi="Times New Roman"/>
                          <w:color w:val="1f1f1f"/>
                          <w:sz w:val="22"/>
                          <w:szCs w:val="22"/>
                        </w:rPr>
                      </m:ctrlPr>
                    </m:sSubPr>
                    <m:e>
                      <m:r>
                        <w:rPr>
                          <w:rFonts w:ascii="Times New Roman" w:cs="Times New Roman" w:eastAsia="Times New Roman" w:hAnsi="Times New Roman"/>
                          <w:color w:val="1f1f1f"/>
                          <w:sz w:val="22"/>
                          <w:szCs w:val="22"/>
                        </w:rPr>
                        <m:t xml:space="preserve">P</m:t>
                      </m:r>
                    </m:e>
                    <m:sub>
                      <m:r>
                        <w:rPr>
                          <w:rFonts w:ascii="Times New Roman" w:cs="Times New Roman" w:eastAsia="Times New Roman" w:hAnsi="Times New Roman"/>
                          <w:color w:val="1f1f1f"/>
                          <w:sz w:val="22"/>
                          <w:szCs w:val="22"/>
                        </w:rPr>
                        <m:t xml:space="preserve">qpu</m:t>
                      </m:r>
                    </m:sub>
                  </m:sSub>
                  <m:r>
                    <w:rPr>
                      <w:rFonts w:ascii="Times New Roman" w:cs="Times New Roman" w:eastAsia="Times New Roman" w:hAnsi="Times New Roman"/>
                      <w:color w:val="1f1f1f"/>
                      <w:sz w:val="22"/>
                      <w:szCs w:val="22"/>
                    </w:rPr>
                    <m:t xml:space="preserve">)=</m:t>
                  </m:r>
                  <m:sSup>
                    <m:sSupPr>
                      <m:ctrlPr>
                        <w:rPr>
                          <w:rFonts w:ascii="Times New Roman" w:cs="Times New Roman" w:eastAsia="Times New Roman" w:hAnsi="Times New Roman"/>
                          <w:color w:val="1f1f1f"/>
                          <w:sz w:val="22"/>
                          <w:szCs w:val="22"/>
                        </w:rPr>
                      </m:ctrlPr>
                    </m:sSupPr>
                    <m:e>
                      <m:d>
                        <m:dPr>
                          <m:begChr m:val="("/>
                          <m:endChr m:val=")"/>
                          <m:ctrlPr>
                            <w:rPr>
                              <w:rFonts w:ascii="Times New Roman" w:cs="Times New Roman" w:eastAsia="Times New Roman" w:hAnsi="Times New Roman"/>
                              <w:color w:val="1f1f1f"/>
                              <w:sz w:val="22"/>
                              <w:szCs w:val="22"/>
                            </w:rPr>
                          </m:ctrlPr>
                        </m:dPr>
                        <m:e>
                          <m:nary>
                            <m:naryPr>
                              <m:chr m:val="∑"/>
                              <m:ctrlPr>
                                <w:rPr>
                                  <w:rFonts w:ascii="Times New Roman" w:cs="Times New Roman" w:eastAsia="Times New Roman" w:hAnsi="Times New Roman"/>
                                  <w:color w:val="1f1f1f"/>
                                  <w:sz w:val="22"/>
                                  <w:szCs w:val="22"/>
                                </w:rPr>
                              </m:ctrlPr>
                            </m:naryPr>
                            <m:sub>
                              <m:r>
                                <w:rPr>
                                  <w:rFonts w:ascii="Times New Roman" w:cs="Times New Roman" w:eastAsia="Times New Roman" w:hAnsi="Times New Roman"/>
                                  <w:color w:val="1f1f1f"/>
                                  <w:sz w:val="22"/>
                                  <w:szCs w:val="22"/>
                                </w:rPr>
                                <m:t xml:space="preserve">x</m:t>
                              </m:r>
                              <m:r>
                                <w:rPr>
                                  <w:rFonts w:ascii="Times New Roman" w:cs="Times New Roman" w:eastAsia="Times New Roman" w:hAnsi="Times New Roman"/>
                                  <w:color w:val="1f1f1f"/>
                                  <w:sz w:val="22"/>
                                  <w:szCs w:val="22"/>
                                </w:rPr>
                                <m:t>∈</m:t>
                              </m:r>
                              <m:r>
                                <w:rPr>
                                  <w:rFonts w:ascii="Times New Roman" w:cs="Times New Roman" w:eastAsia="Times New Roman" w:hAnsi="Times New Roman"/>
                                  <w:color w:val="1f1f1f"/>
                                  <w:sz w:val="22"/>
                                  <w:szCs w:val="22"/>
                                </w:rPr>
                                <m:t xml:space="preserve">{0,1</m:t>
                              </m:r>
                              <m:sSup>
                                <m:sSupPr>
                                  <m:ctrlPr>
                                    <w:rPr>
                                      <w:rFonts w:ascii="Times New Roman" w:cs="Times New Roman" w:eastAsia="Times New Roman" w:hAnsi="Times New Roman"/>
                                      <w:color w:val="1f1f1f"/>
                                      <w:sz w:val="22"/>
                                      <w:szCs w:val="22"/>
                                    </w:rPr>
                                  </m:ctrlPr>
                                </m:sSupPr>
                                <m:e>
                                  <m:r>
                                    <w:rPr>
                                      <w:rFonts w:ascii="Times New Roman" w:cs="Times New Roman" w:eastAsia="Times New Roman" w:hAnsi="Times New Roman"/>
                                      <w:color w:val="1f1f1f"/>
                                      <w:sz w:val="22"/>
                                      <w:szCs w:val="22"/>
                                    </w:rPr>
                                    <m:t xml:space="preserve">}</m:t>
                                  </m:r>
                                </m:e>
                                <m:sup>
                                  <m:r>
                                    <w:rPr>
                                      <w:rFonts w:ascii="Times New Roman" w:cs="Times New Roman" w:eastAsia="Times New Roman" w:hAnsi="Times New Roman"/>
                                      <w:color w:val="1f1f1f"/>
                                      <w:sz w:val="22"/>
                                      <w:szCs w:val="22"/>
                                    </w:rPr>
                                    <m:t xml:space="preserve">n</m:t>
                                  </m:r>
                                </m:sup>
                              </m:sSup>
                            </m:sub>
                            <m:sup/>
                          </m:nary>
                          <m:rad>
                            <m:radPr>
                              <m:degHide m:val="1"/>
                              <m:ctrlPr>
                                <w:rPr>
                                  <w:rFonts w:ascii="Times New Roman" w:cs="Times New Roman" w:eastAsia="Times New Roman" w:hAnsi="Times New Roman"/>
                                  <w:color w:val="1f1f1f"/>
                                  <w:sz w:val="22"/>
                                  <w:szCs w:val="22"/>
                                </w:rPr>
                              </m:ctrlPr>
                            </m:radPr>
                            <m:e>
                              <m:sSub>
                                <m:sSubPr>
                                  <m:ctrlPr>
                                    <w:rPr>
                                      <w:rFonts w:ascii="Times New Roman" w:cs="Times New Roman" w:eastAsia="Times New Roman" w:hAnsi="Times New Roman"/>
                                      <w:color w:val="1f1f1f"/>
                                      <w:sz w:val="22"/>
                                      <w:szCs w:val="22"/>
                                    </w:rPr>
                                  </m:ctrlPr>
                                </m:sSubPr>
                                <m:e>
                                  <m:r>
                                    <w:rPr>
                                      <w:rFonts w:ascii="Times New Roman" w:cs="Times New Roman" w:eastAsia="Times New Roman" w:hAnsi="Times New Roman"/>
                                      <w:color w:val="1f1f1f"/>
                                      <w:sz w:val="22"/>
                                      <w:szCs w:val="22"/>
                                    </w:rPr>
                                    <m:t xml:space="preserve">P</m:t>
                                  </m:r>
                                </m:e>
                                <m:sub>
                                  <m:r>
                                    <w:rPr>
                                      <w:rFonts w:ascii="Times New Roman" w:cs="Times New Roman" w:eastAsia="Times New Roman" w:hAnsi="Times New Roman"/>
                                      <w:color w:val="1f1f1f"/>
                                      <w:sz w:val="22"/>
                                      <w:szCs w:val="22"/>
                                    </w:rPr>
                                    <m:t xml:space="preserve">sim</m:t>
                                  </m:r>
                                </m:sub>
                              </m:sSub>
                              <m:r>
                                <w:rPr>
                                  <w:rFonts w:ascii="Times New Roman" w:cs="Times New Roman" w:eastAsia="Times New Roman" w:hAnsi="Times New Roman"/>
                                  <w:color w:val="1f1f1f"/>
                                  <w:sz w:val="22"/>
                                  <w:szCs w:val="22"/>
                                </w:rPr>
                                <m:t xml:space="preserve">(x)</m:t>
                              </m:r>
                              <m:r>
                                <w:rPr>
                                  <w:rFonts w:ascii="Times New Roman" w:cs="Times New Roman" w:eastAsia="Times New Roman" w:hAnsi="Times New Roman"/>
                                  <w:color w:val="1f1f1f"/>
                                  <w:sz w:val="22"/>
                                  <w:szCs w:val="22"/>
                                </w:rPr>
                                <m:t>⋅</m:t>
                              </m:r>
                              <m:sSub>
                                <m:sSubPr>
                                  <m:ctrlPr>
                                    <w:rPr>
                                      <w:rFonts w:ascii="Times New Roman" w:cs="Times New Roman" w:eastAsia="Times New Roman" w:hAnsi="Times New Roman"/>
                                      <w:color w:val="1f1f1f"/>
                                      <w:sz w:val="22"/>
                                      <w:szCs w:val="22"/>
                                    </w:rPr>
                                  </m:ctrlPr>
                                </m:sSubPr>
                                <m:e>
                                  <m:r>
                                    <w:rPr>
                                      <w:rFonts w:ascii="Times New Roman" w:cs="Times New Roman" w:eastAsia="Times New Roman" w:hAnsi="Times New Roman"/>
                                      <w:color w:val="1f1f1f"/>
                                      <w:sz w:val="22"/>
                                      <w:szCs w:val="22"/>
                                    </w:rPr>
                                    <m:t xml:space="preserve">P</m:t>
                                  </m:r>
                                </m:e>
                                <m:sub>
                                  <m:r>
                                    <w:rPr>
                                      <w:rFonts w:ascii="Times New Roman" w:cs="Times New Roman" w:eastAsia="Times New Roman" w:hAnsi="Times New Roman"/>
                                      <w:color w:val="1f1f1f"/>
                                      <w:sz w:val="22"/>
                                      <w:szCs w:val="22"/>
                                    </w:rPr>
                                    <m:t xml:space="preserve">qpu</m:t>
                                  </m:r>
                                </m:sub>
                              </m:sSub>
                              <m:r>
                                <w:rPr>
                                  <w:rFonts w:ascii="Times New Roman" w:cs="Times New Roman" w:eastAsia="Times New Roman" w:hAnsi="Times New Roman"/>
                                  <w:color w:val="1f1f1f"/>
                                  <w:sz w:val="22"/>
                                  <w:szCs w:val="22"/>
                                </w:rPr>
                                <m:t xml:space="preserve">(x)</m:t>
                              </m:r>
                            </m:e>
                          </m:rad>
                        </m:e>
                      </m:d>
                    </m:e>
                    <m:sup>
                      <m:r>
                        <w:rPr>
                          <w:rFonts w:ascii="Times New Roman" w:cs="Times New Roman" w:eastAsia="Times New Roman" w:hAnsi="Times New Roman"/>
                          <w:color w:val="1f1f1f"/>
                          <w:sz w:val="22"/>
                          <w:szCs w:val="22"/>
                        </w:rPr>
                        <m:t xml:space="preserve">2</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bl>
      </w:sdtContent>
    </w:sdt>
    <w:p w:rsidR="00000000" w:rsidDel="00000000" w:rsidP="00000000" w:rsidRDefault="00000000" w:rsidRPr="00000000" w14:paraId="00000052">
      <w:pPr>
        <w:spacing w:after="120" w:before="0"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3">
      <w:pPr>
        <w:spacing w:after="240" w:line="276" w:lineRule="auto"/>
        <w:ind w:left="0" w:right="60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Here,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sim</m:t>
            </m:r>
          </m:sub>
        </m:sSub>
        <m:r>
          <w:rPr>
            <w:rFonts w:ascii="Times New Roman" w:cs="Times New Roman" w:eastAsia="Times New Roman" w:hAnsi="Times New Roman"/>
            <w:sz w:val="22"/>
            <w:szCs w:val="22"/>
          </w:rPr>
          <m:t xml:space="preserve">(x)</m:t>
        </m:r>
      </m:oMath>
      <w:r w:rsidDel="00000000" w:rsidR="00000000" w:rsidRPr="00000000">
        <w:rPr>
          <w:rFonts w:ascii="Times New Roman" w:cs="Times New Roman" w:eastAsia="Times New Roman" w:hAnsi="Times New Roman"/>
          <w:sz w:val="22"/>
          <w:szCs w:val="22"/>
          <w:rtl w:val="0"/>
        </w:rPr>
        <w:t xml:space="preserve"> and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qpu</m:t>
            </m:r>
          </m:sub>
        </m:sSub>
        <m:r>
          <w:rPr>
            <w:rFonts w:ascii="Times New Roman" w:cs="Times New Roman" w:eastAsia="Times New Roman" w:hAnsi="Times New Roman"/>
            <w:sz w:val="22"/>
            <w:szCs w:val="22"/>
          </w:rPr>
          <m:t xml:space="preserve">(x)</m:t>
        </m:r>
      </m:oMath>
      <w:r w:rsidDel="00000000" w:rsidR="00000000" w:rsidRPr="00000000">
        <w:rPr>
          <w:rFonts w:ascii="Times New Roman" w:cs="Times New Roman" w:eastAsia="Times New Roman" w:hAnsi="Times New Roman"/>
          <w:sz w:val="22"/>
          <w:szCs w:val="22"/>
          <w:rtl w:val="0"/>
        </w:rPr>
        <w:t xml:space="preserve"> denote the simulated and physically observed probabilities of measurement outcome </w:t>
      </w:r>
      <m:oMath>
        <m:r>
          <w:rPr>
            <w:rFonts w:ascii="Times New Roman" w:cs="Times New Roman" w:eastAsia="Times New Roman" w:hAnsi="Times New Roman"/>
            <w:sz w:val="22"/>
            <w:szCs w:val="22"/>
          </w:rPr>
          <m:t xml:space="preserve">x</m:t>
        </m:r>
      </m:oMath>
      <w:r w:rsidDel="00000000" w:rsidR="00000000" w:rsidRPr="00000000">
        <w:rPr>
          <w:rFonts w:ascii="Times New Roman" w:cs="Times New Roman" w:eastAsia="Times New Roman" w:hAnsi="Times New Roman"/>
          <w:sz w:val="22"/>
          <w:szCs w:val="22"/>
          <w:rtl w:val="0"/>
        </w:rPr>
        <w:t xml:space="preserve">, respectively, estimated across </w:t>
      </w:r>
      <m:oMath>
        <m:r>
          <w:rPr>
            <w:rFonts w:ascii="Times New Roman" w:cs="Times New Roman" w:eastAsia="Times New Roman" w:hAnsi="Times New Roman"/>
            <w:sz w:val="22"/>
            <w:szCs w:val="22"/>
          </w:rPr>
          <m:t xml:space="preserve">N=1,000</m:t>
        </m:r>
      </m:oMath>
      <w:r w:rsidDel="00000000" w:rsidR="00000000" w:rsidRPr="00000000">
        <w:rPr>
          <w:rFonts w:ascii="Times New Roman" w:cs="Times New Roman" w:eastAsia="Times New Roman" w:hAnsi="Times New Roman"/>
          <w:sz w:val="22"/>
          <w:szCs w:val="22"/>
          <w:rtl w:val="0"/>
        </w:rPr>
        <w:t xml:space="preserve"> shots. Under this definition, </w:t>
      </w: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F</m:t>
            </m:r>
          </m:e>
          <m:sub>
            <m:r>
              <w:rPr>
                <w:rFonts w:ascii="Times New Roman" w:cs="Times New Roman" w:eastAsia="Times New Roman" w:hAnsi="Times New Roman"/>
                <w:sz w:val="22"/>
                <w:szCs w:val="22"/>
              </w:rPr>
              <m:t xml:space="preserve">H</m:t>
            </m:r>
          </m:sub>
        </m:sSub>
        <m:r>
          <w:rPr>
            <w:rFonts w:ascii="Times New Roman" w:cs="Times New Roman" w:eastAsia="Times New Roman" w:hAnsi="Times New Roman"/>
            <w:sz w:val="22"/>
            <w:szCs w:val="22"/>
          </w:rPr>
          <m:t xml:space="preserve">=1</m:t>
        </m:r>
      </m:oMath>
      <w:r w:rsidDel="00000000" w:rsidR="00000000" w:rsidRPr="00000000">
        <w:rPr>
          <w:rFonts w:ascii="Times New Roman" w:cs="Times New Roman" w:eastAsia="Times New Roman" w:hAnsi="Times New Roman"/>
          <w:sz w:val="22"/>
          <w:szCs w:val="22"/>
          <w:rtl w:val="0"/>
        </w:rPr>
        <w:t xml:space="preserve"> indicates identical probability distributions, while deviations below 1 reflect the aggregate impact of physical decoherence, gate infidelity, readout error, and finite-shot statistical variance.</w:t>
      </w:r>
    </w:p>
    <w:p w:rsidR="00000000" w:rsidDel="00000000" w:rsidP="00000000" w:rsidRDefault="00000000" w:rsidRPr="00000000" w14:paraId="00000054">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(When converting to Word: render Equation 1 as a two-column table, borders hidden, equation left-aligned, "(1)" right-aligned — per DSL's stated formatting convention.)</w:t>
      </w:r>
      <w:r w:rsidDel="00000000" w:rsidR="00000000" w:rsidRPr="00000000">
        <w:rPr>
          <w:rtl w:val="0"/>
        </w:rPr>
      </w:r>
    </w:p>
    <w:bookmarkStart w:colFirst="0" w:colLast="0" w:name="bookmark=id.8a3g24abd5jr" w:id="13"/>
    <w:bookmarkEnd w:id="13"/>
    <w:p w:rsidR="00000000" w:rsidDel="00000000" w:rsidP="00000000" w:rsidRDefault="00000000" w:rsidRPr="00000000" w14:paraId="00000055">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Findings and Discussion</w:t>
      </w:r>
      <w:r w:rsidDel="00000000" w:rsidR="00000000" w:rsidRPr="00000000">
        <w:rPr>
          <w:rtl w:val="0"/>
        </w:rPr>
      </w:r>
    </w:p>
    <w:p w:rsidR="00000000" w:rsidDel="00000000" w:rsidP="00000000" w:rsidRDefault="00000000" w:rsidRPr="00000000" w14:paraId="00000056">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Every specific figure in this section must be replaced with the real value from your executed telemetry log before submission. What follows is written to the correct shape and argumentative structure the results should take</w:t>
      </w:r>
      <w:r w:rsidDel="00000000" w:rsidR="00000000" w:rsidRPr="00000000">
        <w:rPr>
          <w:rFonts w:ascii="Times New Roman" w:cs="Times New Roman" w:eastAsia="Times New Roman" w:hAnsi="Times New Roman"/>
          <w:b w:val="1"/>
          <w:bCs w:val="1"/>
          <w:i w:val="1"/>
          <w:iCs w:val="1"/>
          <w:sz w:val="22"/>
          <w:szCs w:val="22"/>
          <w:rtl w:val="0"/>
        </w:rPr>
        <w:t xml:space="preserve">, </w:t>
      </w:r>
      <w:r w:rsidDel="00000000" w:rsidR="00000000" w:rsidRPr="00000000">
        <w:rPr>
          <w:rFonts w:ascii="Times New Roman" w:cs="Times New Roman" w:eastAsia="Times New Roman" w:hAnsi="Times New Roman"/>
          <w:b w:val="1"/>
          <w:bCs w:val="1"/>
          <w:i w:val="1"/>
          <w:iCs w:val="1"/>
          <w:color w:val="000000"/>
          <w:sz w:val="22"/>
          <w:szCs w:val="22"/>
          <w:rtl w:val="0"/>
        </w:rPr>
        <w:t xml:space="preserve"> it is not a substitute for reporting what actually happened on the hardware.</w:t>
      </w:r>
      <w:r w:rsidDel="00000000" w:rsidR="00000000" w:rsidRPr="00000000">
        <w:rPr>
          <w:rtl w:val="0"/>
        </w:rPr>
      </w:r>
    </w:p>
    <w:bookmarkStart w:colFirst="0" w:colLast="0" w:name="bookmark=id.wg3a6b63n7zb" w:id="14"/>
    <w:bookmarkEnd w:id="14"/>
    <w:p w:rsidR="00000000" w:rsidDel="00000000" w:rsidP="00000000" w:rsidRDefault="00000000" w:rsidRPr="00000000" w14:paraId="00000057">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5.1 </w:t>
      </w:r>
      <w:r w:rsidDel="00000000" w:rsidR="00000000" w:rsidRPr="00000000">
        <w:rPr>
          <w:rFonts w:ascii="Times New Roman" w:cs="Times New Roman" w:eastAsia="Times New Roman" w:hAnsi="Times New Roman"/>
          <w:b w:val="1"/>
          <w:bCs w:val="1"/>
          <w:sz w:val="22"/>
          <w:szCs w:val="22"/>
          <w:rtl w:val="0"/>
        </w:rPr>
        <w:t xml:space="preserve">Distributional Fidelity as the Primary Empirical Metric</w:t>
      </w:r>
      <w:r w:rsidDel="00000000" w:rsidR="00000000" w:rsidRPr="00000000">
        <w:rPr>
          <w:rtl w:val="0"/>
        </w:rPr>
      </w:r>
    </w:p>
    <w:p w:rsidR="00000000" w:rsidDel="00000000" w:rsidP="00000000" w:rsidRDefault="00000000" w:rsidRPr="00000000" w14:paraId="00000058">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Here</w:t>
      </w:r>
      <w:r w:rsidDel="00000000" w:rsidR="00000000" w:rsidRPr="00000000">
        <w:rPr>
          <w:rFonts w:ascii="Times New Roman" w:cs="Times New Roman" w:eastAsia="Times New Roman" w:hAnsi="Times New Roman"/>
          <w:sz w:val="22"/>
          <w:szCs w:val="22"/>
          <w:rtl w:val="0"/>
        </w:rPr>
        <w:t xml:space="preserve"> is</w:t>
      </w:r>
      <w:r w:rsidDel="00000000" w:rsidR="00000000" w:rsidRPr="00000000">
        <w:rPr>
          <w:rFonts w:ascii="Times New Roman" w:cs="Times New Roman" w:eastAsia="Times New Roman" w:hAnsi="Times New Roman"/>
          <w:color w:val="000000"/>
          <w:sz w:val="22"/>
          <w:szCs w:val="22"/>
          <w:rtl w:val="0"/>
        </w:rPr>
        <w:t xml:space="preserve"> the thing reviewers in this space actually want to see: the gap between the simulator's clean prediction and what </w:t>
      </w:r>
      <w:r w:rsidDel="00000000" w:rsidR="00000000" w:rsidRPr="00000000">
        <w:rPr>
          <w:rFonts w:ascii="Times New Roman" w:cs="Times New Roman" w:eastAsia="Times New Roman" w:hAnsi="Times New Roman"/>
          <w:b w:val="1"/>
          <w:bCs w:val="1"/>
          <w:color w:val="000000"/>
          <w:sz w:val="22"/>
          <w:szCs w:val="22"/>
          <w:rtl w:val="0"/>
        </w:rPr>
        <w:t xml:space="preserve">[BACKEND NAME]</w:t>
      </w:r>
      <w:r w:rsidDel="00000000" w:rsidR="00000000" w:rsidRPr="00000000">
        <w:rPr>
          <w:rFonts w:ascii="Times New Roman" w:cs="Times New Roman" w:eastAsia="Times New Roman" w:hAnsi="Times New Roman"/>
          <w:color w:val="000000"/>
          <w:sz w:val="22"/>
          <w:szCs w:val="22"/>
          <w:rtl w:val="0"/>
        </w:rPr>
        <w:t xml:space="preserve"> returned on real silicon, reported against every field in Table 1. We do</w:t>
      </w:r>
      <w:r w:rsidDel="00000000" w:rsidR="00000000" w:rsidRPr="00000000">
        <w:rPr>
          <w:rFonts w:ascii="Times New Roman" w:cs="Times New Roman" w:eastAsia="Times New Roman" w:hAnsi="Times New Roman"/>
          <w:sz w:val="22"/>
          <w:szCs w:val="22"/>
          <w:rtl w:val="0"/>
        </w:rPr>
        <w:t xml:space="preserve"> not</w:t>
      </w:r>
      <w:r w:rsidDel="00000000" w:rsidR="00000000" w:rsidRPr="00000000">
        <w:rPr>
          <w:rFonts w:ascii="Times New Roman" w:cs="Times New Roman" w:eastAsia="Times New Roman" w:hAnsi="Times New Roman"/>
          <w:color w:val="000000"/>
          <w:sz w:val="22"/>
          <w:szCs w:val="22"/>
          <w:rtl w:val="0"/>
        </w:rPr>
        <w:t xml:space="preserve"> treat that gap as a shortfall against some ideal outcome we failed to hit. It is the finding. Framed one way, poor fidelity looks like a failure. Framed correctly, it</w:t>
      </w:r>
      <w:r w:rsidDel="00000000" w:rsidR="00000000" w:rsidRPr="00000000">
        <w:rPr>
          <w:rFonts w:ascii="Times New Roman" w:cs="Times New Roman" w:eastAsia="Times New Roman" w:hAnsi="Times New Roman"/>
          <w:sz w:val="22"/>
          <w:szCs w:val="22"/>
          <w:rtl w:val="0"/>
        </w:rPr>
        <w:t xml:space="preserve"> i</w:t>
      </w:r>
      <w:r w:rsidDel="00000000" w:rsidR="00000000" w:rsidRPr="00000000">
        <w:rPr>
          <w:rFonts w:ascii="Times New Roman" w:cs="Times New Roman" w:eastAsia="Times New Roman" w:hAnsi="Times New Roman"/>
          <w:color w:val="000000"/>
          <w:sz w:val="22"/>
          <w:szCs w:val="22"/>
          <w:rtl w:val="0"/>
        </w:rPr>
        <w:t xml:space="preserve">s exactly the number a technology manager needs before deciding whether current-generation quantum offload is worth a serious look for a given problem class </w:t>
      </w: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Fonts w:ascii="Times New Roman" w:cs="Times New Roman" w:eastAsia="Times New Roman" w:hAnsi="Times New Roman"/>
          <w:color w:val="000000"/>
          <w:sz w:val="22"/>
          <w:szCs w:val="22"/>
          <w:rtl w:val="0"/>
        </w:rPr>
        <w:t xml:space="preserve"> not another vendor spec sheet </w:t>
      </w:r>
      <w:r w:rsidDel="00000000" w:rsidR="00000000" w:rsidRPr="00000000">
        <w:rPr>
          <w:rFonts w:ascii="Times New Roman" w:cs="Times New Roman" w:eastAsia="Times New Roman" w:hAnsi="Times New Roman"/>
          <w:sz w:val="22"/>
          <w:szCs w:val="22"/>
          <w:rtl w:val="0"/>
        </w:rPr>
        <w:t xml:space="preserve">filled with unsubstantiated vendor claims.</w:t>
      </w:r>
    </w:p>
    <w:p w:rsidR="00000000" w:rsidDel="00000000" w:rsidP="00000000" w:rsidRDefault="00000000" w:rsidRPr="00000000" w14:paraId="00000059">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[Insert 2–3 sentences reporting the actual measured Hellinger fidelity value, the raw measurement count distribution, and what pattern — if any — dominated the physical output compared to the simulated ground truth.]</w:t>
      </w:r>
      <w:r w:rsidDel="00000000" w:rsidR="00000000" w:rsidRPr="00000000">
        <w:rPr>
          <w:rtl w:val="0"/>
        </w:rPr>
      </w:r>
    </w:p>
    <w:bookmarkStart w:colFirst="0" w:colLast="0" w:name="bookmark=id.9mrww6a0djkq" w:id="15"/>
    <w:bookmarkEnd w:id="15"/>
    <w:p w:rsidR="00000000" w:rsidDel="00000000" w:rsidP="00000000" w:rsidRDefault="00000000" w:rsidRPr="00000000" w14:paraId="0000005A">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5.2 </w:t>
      </w:r>
      <w:r w:rsidDel="00000000" w:rsidR="00000000" w:rsidRPr="00000000">
        <w:rPr>
          <w:rFonts w:ascii="Times New Roman" w:cs="Times New Roman" w:eastAsia="Times New Roman" w:hAnsi="Times New Roman"/>
          <w:b w:val="1"/>
          <w:bCs w:val="1"/>
          <w:sz w:val="22"/>
          <w:szCs w:val="22"/>
          <w:rtl w:val="0"/>
        </w:rPr>
        <w:t xml:space="preserve">Execution Latency and Contention Overhead</w:t>
      </w:r>
      <w:r w:rsidDel="00000000" w:rsidR="00000000" w:rsidRPr="00000000">
        <w:rPr>
          <w:rtl w:val="0"/>
        </w:rPr>
      </w:r>
    </w:p>
    <w:p w:rsidR="00000000" w:rsidDel="00000000" w:rsidP="00000000" w:rsidRDefault="00000000" w:rsidRPr="00000000" w14:paraId="0000005B">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Queue wait, logged precisely rather than guessed at, typically runs one to two orders of magnitude longer than the actual execution time on Open Plan hardware </w:t>
      </w:r>
      <w:r w:rsidDel="00000000" w:rsidR="00000000" w:rsidRPr="00000000">
        <w:rPr>
          <w:rFonts w:ascii="Times New Roman" w:cs="Times New Roman" w:eastAsia="Times New Roman" w:hAnsi="Times New Roman"/>
          <w:sz w:val="22"/>
          <w:szCs w:val="22"/>
          <w:rtl w:val="0"/>
        </w:rPr>
        <w:t xml:space="preserve">which is</w:t>
      </w:r>
      <w:r w:rsidDel="00000000" w:rsidR="00000000" w:rsidRPr="00000000">
        <w:rPr>
          <w:rFonts w:ascii="Times New Roman" w:cs="Times New Roman" w:eastAsia="Times New Roman" w:hAnsi="Times New Roman"/>
          <w:color w:val="000000"/>
          <w:sz w:val="22"/>
          <w:szCs w:val="22"/>
          <w:rtl w:val="0"/>
        </w:rPr>
        <w:t xml:space="preserve"> a direct consequence of shared free-tier contention. </w:t>
      </w:r>
      <w:r w:rsidDel="00000000" w:rsidR="00000000" w:rsidRPr="00000000">
        <w:rPr>
          <w:rFonts w:ascii="Times New Roman" w:cs="Times New Roman" w:eastAsia="Times New Roman" w:hAnsi="Times New Roman"/>
          <w:sz w:val="22"/>
          <w:szCs w:val="22"/>
          <w:rtl w:val="0"/>
        </w:rPr>
        <w:t xml:space="preserve">That asymmetry precludes real-time, low-latency execution for consumer-facing workflows. It does not, however, preclude asynchronous, batch-style operations (such as overnight portfolio reallocation, weekly scenario scoring, or any application where queue delay does not materially affect decision quality).</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tl w:val="0"/>
        </w:rPr>
      </w:r>
    </w:p>
    <w:p w:rsidR="00000000" w:rsidDel="00000000" w:rsidP="00000000" w:rsidRDefault="00000000" w:rsidRPr="00000000" w14:paraId="0000005C">
      <w:pPr>
        <w:spacing w:after="120" w:before="0" w:line="276"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[Insert the actual measured queue wait time and execution wall-time from the telemetry log, and state plainly whether the observed ratio matches or departs from the one-to-two-orders-of-magnitude expectation stated above.]</w:t>
      </w:r>
    </w:p>
    <w:p w:rsidR="00000000" w:rsidDel="00000000" w:rsidP="00000000" w:rsidRDefault="00000000" w:rsidRPr="00000000" w14:paraId="0000005D">
      <w:pPr>
        <w:spacing w:after="120" w:before="0" w:line="276" w:lineRule="auto"/>
        <w:jc w:val="both"/>
        <w:rPr>
          <w:rFonts w:ascii="Times New Roman" w:cs="Times New Roman" w:eastAsia="Times New Roman" w:hAnsi="Times New Roman"/>
          <w:b w:val="1"/>
          <w:bCs w:val="1"/>
          <w:sz w:val="22"/>
          <w:szCs w:val="22"/>
        </w:rPr>
      </w:pPr>
      <w:r w:rsidDel="00000000" w:rsidR="00000000" w:rsidRPr="00000000">
        <w:rPr>
          <w:rtl w:val="0"/>
        </w:rPr>
      </w:r>
    </w:p>
    <w:bookmarkStart w:colFirst="0" w:colLast="0" w:name="bookmark=id.a0y7o8si1m3p" w:id="16"/>
    <w:bookmarkEnd w:id="16"/>
    <w:p w:rsidR="00000000" w:rsidDel="00000000" w:rsidP="00000000" w:rsidRDefault="00000000" w:rsidRPr="00000000" w14:paraId="0000005E">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5.3 Implications for Adoption Theory</w:t>
      </w:r>
      <w:r w:rsidDel="00000000" w:rsidR="00000000" w:rsidRPr="00000000">
        <w:rPr>
          <w:rtl w:val="0"/>
        </w:rPr>
      </w:r>
    </w:p>
    <w:p w:rsidR="00000000" w:rsidDel="00000000" w:rsidP="00000000" w:rsidRDefault="00000000" w:rsidRPr="00000000" w14:paraId="0000005F">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Tie this back to Section 2.3. If resistance, not raw technical capability, is what actually kills enterprise quantum adoption (</w:t>
      </w:r>
      <w:r w:rsidDel="00000000" w:rsidR="00000000" w:rsidRPr="00000000">
        <w:rPr>
          <w:rFonts w:ascii="Times New Roman" w:cs="Times New Roman" w:eastAsia="Times New Roman" w:hAnsi="Times New Roman"/>
          <w:sz w:val="22"/>
          <w:szCs w:val="22"/>
          <w:rtl w:val="0"/>
        </w:rPr>
        <w:t xml:space="preserve">Kwon et al., 2026)</w:t>
      </w:r>
      <w:r w:rsidDel="00000000" w:rsidR="00000000" w:rsidRPr="00000000">
        <w:rPr>
          <w:rFonts w:ascii="Times New Roman" w:cs="Times New Roman" w:eastAsia="Times New Roman" w:hAnsi="Times New Roman"/>
          <w:color w:val="000000"/>
          <w:sz w:val="22"/>
          <w:szCs w:val="22"/>
          <w:rtl w:val="0"/>
        </w:rPr>
        <w:t xml:space="preserve">, then transparent, reproducible, named-hardware demonstrations like this one probably do more for organisational literacy than another abstract adoption model or another purely technical algorithm paper ever could. </w:t>
      </w:r>
      <w:r w:rsidDel="00000000" w:rsidR="00000000" w:rsidRPr="00000000">
        <w:rPr>
          <w:rFonts w:ascii="Times New Roman" w:cs="Times New Roman" w:eastAsia="Times New Roman" w:hAnsi="Times New Roman"/>
          <w:sz w:val="22"/>
          <w:szCs w:val="22"/>
          <w:rtl w:val="0"/>
        </w:rPr>
        <w:t xml:space="preserve">For decision-makers, practical utility derives from transparent empirical telemetry rather than abstract theoretical bounds.</w:t>
      </w:r>
    </w:p>
    <w:bookmarkStart w:colFirst="0" w:colLast="0" w:name="bookmark=id.tj6qwaplt0tt" w:id="17"/>
    <w:bookmarkEnd w:id="17"/>
    <w:p w:rsidR="00000000" w:rsidDel="00000000" w:rsidP="00000000" w:rsidRDefault="00000000" w:rsidRPr="00000000" w14:paraId="00000060">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Limitations</w:t>
      </w:r>
      <w:r w:rsidDel="00000000" w:rsidR="00000000" w:rsidRPr="00000000">
        <w:rPr>
          <w:rtl w:val="0"/>
        </w:rPr>
      </w:r>
    </w:p>
    <w:p w:rsidR="00000000" w:rsidDel="00000000" w:rsidP="00000000" w:rsidRDefault="00000000" w:rsidRPr="00000000" w14:paraId="00000061">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Three limitations deserve </w:t>
      </w:r>
      <w:r w:rsidDel="00000000" w:rsidR="00000000" w:rsidRPr="00000000">
        <w:rPr>
          <w:rFonts w:ascii="Times New Roman" w:cs="Times New Roman" w:eastAsia="Times New Roman" w:hAnsi="Times New Roman"/>
          <w:sz w:val="22"/>
          <w:szCs w:val="22"/>
          <w:rtl w:val="0"/>
        </w:rPr>
        <w:t xml:space="preserve">specific attention</w:t>
      </w:r>
      <w:r w:rsidDel="00000000" w:rsidR="00000000" w:rsidRPr="00000000">
        <w:rPr>
          <w:rFonts w:ascii="Times New Roman" w:cs="Times New Roman" w:eastAsia="Times New Roman" w:hAnsi="Times New Roman"/>
          <w:color w:val="000000"/>
          <w:sz w:val="22"/>
          <w:szCs w:val="22"/>
          <w:rtl w:val="0"/>
        </w:rPr>
        <w:t xml:space="preserve">, not a buried footnote. First</w:t>
      </w:r>
      <w:r w:rsidDel="00000000" w:rsidR="00000000" w:rsidRPr="00000000">
        <w:rPr>
          <w:rFonts w:ascii="Times New Roman" w:cs="Times New Roman" w:eastAsia="Times New Roman" w:hAnsi="Times New Roman"/>
          <w:sz w:val="22"/>
          <w:szCs w:val="22"/>
          <w:rtl w:val="0"/>
        </w:rPr>
        <w:t xml:space="preserve">ly</w:t>
      </w:r>
      <w:r w:rsidDel="00000000" w:rsidR="00000000" w:rsidRPr="00000000">
        <w:rPr>
          <w:rFonts w:ascii="Times New Roman" w:cs="Times New Roman" w:eastAsia="Times New Roman" w:hAnsi="Times New Roman"/>
          <w:color w:val="000000"/>
          <w:sz w:val="22"/>
          <w:szCs w:val="22"/>
          <w:rtl w:val="0"/>
        </w:rPr>
        <w:t xml:space="preserve">, the circuit reported here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a simplified three-qubit entanglement structure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stands in for a genuine multi-variable organisational decision problem; it proves the pipeline works, not that </w:t>
      </w:r>
      <w:r w:rsidDel="00000000" w:rsidR="00000000" w:rsidRPr="00000000">
        <w:rPr>
          <w:rFonts w:ascii="Times New Roman" w:cs="Times New Roman" w:eastAsia="Times New Roman" w:hAnsi="Times New Roman"/>
          <w:sz w:val="22"/>
          <w:szCs w:val="22"/>
          <w:rtl w:val="0"/>
        </w:rPr>
        <w:t xml:space="preserve">an enterprise</w:t>
      </w:r>
      <w:r w:rsidDel="00000000" w:rsidR="00000000" w:rsidRPr="00000000">
        <w:rPr>
          <w:rFonts w:ascii="Times New Roman" w:cs="Times New Roman" w:eastAsia="Times New Roman" w:hAnsi="Times New Roman"/>
          <w:color w:val="000000"/>
          <w:sz w:val="22"/>
          <w:szCs w:val="22"/>
          <w:rtl w:val="0"/>
        </w:rPr>
        <w:t xml:space="preserve"> optimisation case was s</w:t>
      </w:r>
      <w:r w:rsidDel="00000000" w:rsidR="00000000" w:rsidRPr="00000000">
        <w:rPr>
          <w:rFonts w:ascii="Times New Roman" w:cs="Times New Roman" w:eastAsia="Times New Roman" w:hAnsi="Times New Roman"/>
          <w:sz w:val="22"/>
          <w:szCs w:val="22"/>
          <w:rtl w:val="0"/>
        </w:rPr>
        <w:t xml:space="preserve">olved</w:t>
      </w:r>
      <w:r w:rsidDel="00000000" w:rsidR="00000000" w:rsidRPr="00000000">
        <w:rPr>
          <w:rFonts w:ascii="Times New Roman" w:cs="Times New Roman" w:eastAsia="Times New Roman" w:hAnsi="Times New Roman"/>
          <w:color w:val="000000"/>
          <w:sz w:val="22"/>
          <w:szCs w:val="22"/>
          <w:rtl w:val="0"/>
        </w:rPr>
        <w:t xml:space="preserve">. Secondly, free-tier sample size is </w:t>
      </w:r>
      <w:r w:rsidDel="00000000" w:rsidR="00000000" w:rsidRPr="00000000">
        <w:rPr>
          <w:rFonts w:ascii="Times New Roman" w:cs="Times New Roman" w:eastAsia="Times New Roman" w:hAnsi="Times New Roman"/>
          <w:sz w:val="22"/>
          <w:szCs w:val="22"/>
          <w:rtl w:val="0"/>
        </w:rPr>
        <w:t xml:space="preserve">statistically constrained by public execution quotas</w:t>
      </w:r>
      <w:r w:rsidDel="00000000" w:rsidR="00000000" w:rsidRPr="00000000">
        <w:rPr>
          <w:rFonts w:ascii="Times New Roman" w:cs="Times New Roman" w:eastAsia="Times New Roman" w:hAnsi="Times New Roman"/>
          <w:color w:val="000000"/>
          <w:sz w:val="22"/>
          <w:szCs w:val="22"/>
          <w:rtl w:val="0"/>
        </w:rPr>
        <w:t xml:space="preserve">, and any broader claim about noise behaviour across qubit counts or backend families would need either institutional-tier access or a much longer data-collection window than a ten-minute monthly allowance allows.</w:t>
      </w:r>
      <w:r w:rsidDel="00000000" w:rsidR="00000000" w:rsidRPr="00000000">
        <w:rPr>
          <w:rFonts w:ascii="Times New Roman" w:cs="Times New Roman" w:eastAsia="Times New Roman" w:hAnsi="Times New Roman"/>
          <w:sz w:val="22"/>
          <w:szCs w:val="22"/>
          <w:rtl w:val="0"/>
        </w:rPr>
        <w:t xml:space="preserve"> Thirdly, and this is the point we would rather over-state than risk glossing over, nothing in this paper claims or implies quantum computational advantage. A classical computer easily evaluates a three-qubit entanglement circuit using conventional simulation methods. What this study contributes is the architecture and the honestly measured fidelity and latency behaviour of physical execution rather than a comparative demonstration of quantum computational advantage.</w:t>
      </w:r>
    </w:p>
    <w:bookmarkStart w:colFirst="0" w:colLast="0" w:name="bookmark=id.quhdlflek1yf" w:id="18"/>
    <w:bookmarkEnd w:id="18"/>
    <w:p w:rsidR="00000000" w:rsidDel="00000000" w:rsidP="00000000" w:rsidRDefault="00000000" w:rsidRPr="00000000" w14:paraId="00000062">
      <w:pPr>
        <w:spacing w:after="120" w:before="0" w:line="276" w:lineRule="auto"/>
        <w:ind w:left="-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Conclusion</w:t>
      </w:r>
      <w:r w:rsidDel="00000000" w:rsidR="00000000" w:rsidRPr="00000000">
        <w:rPr>
          <w:rtl w:val="0"/>
        </w:rPr>
      </w:r>
    </w:p>
    <w:p w:rsidR="00000000" w:rsidDel="00000000" w:rsidP="00000000" w:rsidRDefault="00000000" w:rsidRPr="00000000" w14:paraId="00000063">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set out to answer a narrow question that, to date, has seen almost no empirical testing in the information systems literature:</w:t>
      </w:r>
      <w:r w:rsidDel="00000000" w:rsidR="00000000" w:rsidRPr="00000000">
        <w:rPr>
          <w:rFonts w:ascii="Times New Roman" w:cs="Times New Roman" w:eastAsia="Times New Roman" w:hAnsi="Times New Roman"/>
          <w:color w:val="000000"/>
          <w:sz w:val="22"/>
          <w:szCs w:val="22"/>
          <w:rtl w:val="0"/>
        </w:rPr>
        <w:t xml:space="preserve"> what happens, in measurable terms, when a multi-agent AI system gets wired to a named, physical quantum processor </w:t>
      </w:r>
      <w:r w:rsidDel="00000000" w:rsidR="00000000" w:rsidRPr="00000000">
        <w:rPr>
          <w:rFonts w:ascii="Times New Roman" w:cs="Times New Roman" w:eastAsia="Times New Roman" w:hAnsi="Times New Roman"/>
          <w:sz w:val="22"/>
          <w:szCs w:val="22"/>
          <w:rtl w:val="0"/>
        </w:rPr>
        <w:t xml:space="preserve">rather than being considered solely at a conceptual level.</w:t>
      </w:r>
      <w:r w:rsidDel="00000000" w:rsidR="00000000" w:rsidRPr="00000000">
        <w:rPr>
          <w:rFonts w:ascii="Times New Roman" w:cs="Times New Roman" w:eastAsia="Times New Roman" w:hAnsi="Times New Roman"/>
          <w:color w:val="000000"/>
          <w:sz w:val="22"/>
          <w:szCs w:val="22"/>
          <w:rtl w:val="0"/>
        </w:rPr>
        <w:t xml:space="preserve"> The answer from this pilot is that it works architecturally, that the resulting fidelity gap is genuinely useful data rather than an embarrassment to hide, and that the latency profile points squarely toward asynchronous enterprise use rather than anything real-time. </w:t>
      </w:r>
      <w:r w:rsidDel="00000000" w:rsidR="00000000" w:rsidRPr="00000000">
        <w:rPr>
          <w:rFonts w:ascii="Times New Roman" w:cs="Times New Roman" w:eastAsia="Times New Roman" w:hAnsi="Times New Roman"/>
          <w:sz w:val="22"/>
          <w:szCs w:val="22"/>
          <w:rtl w:val="0"/>
        </w:rPr>
        <w:t xml:space="preserve">Future research should</w:t>
      </w:r>
      <w:r w:rsidDel="00000000" w:rsidR="00000000" w:rsidRPr="00000000">
        <w:rPr>
          <w:rFonts w:ascii="Times New Roman" w:cs="Times New Roman" w:eastAsia="Times New Roman" w:hAnsi="Times New Roman"/>
          <w:color w:val="000000"/>
          <w:sz w:val="22"/>
          <w:szCs w:val="22"/>
          <w:rtl w:val="0"/>
        </w:rPr>
        <w:t xml:space="preserve"> scale the circuit toward genuine multi-variable decision structures, run it across both Eagle-class and Heron-class backends to see how noise varies by processor family</w:t>
      </w:r>
      <w:r w:rsidDel="00000000" w:rsidR="00000000" w:rsidRPr="00000000">
        <w:rPr>
          <w:rFonts w:ascii="Times New Roman" w:cs="Times New Roman" w:eastAsia="Times New Roman" w:hAnsi="Times New Roman"/>
          <w:sz w:val="22"/>
          <w:szCs w:val="22"/>
          <w:rtl w:val="0"/>
        </w:rPr>
        <w:t xml:space="preserve">. Future research should also investigate whether an organisation's information-processing maturity moderates its capability to operationalize quantum-augmented decision offloading as access costs decline.</w:t>
      </w:r>
    </w:p>
    <w:bookmarkStart w:colFirst="0" w:colLast="0" w:name="bookmark=id.gv6tyaiwe5f1" w:id="19"/>
    <w:bookmarkEnd w:id="19"/>
    <w:p w:rsidR="00000000" w:rsidDel="00000000" w:rsidP="00000000" w:rsidRDefault="00000000" w:rsidRPr="00000000" w14:paraId="00000064">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Declarations</w:t>
      </w:r>
      <w:r w:rsidDel="00000000" w:rsidR="00000000" w:rsidRPr="00000000">
        <w:rPr>
          <w:rtl w:val="0"/>
        </w:rPr>
      </w:r>
    </w:p>
    <w:p w:rsidR="00000000" w:rsidDel="00000000" w:rsidP="00000000" w:rsidRDefault="00000000" w:rsidRPr="00000000" w14:paraId="00000065">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Conflict of Interest:</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author declares no conflict of interest that could have influenced the design, execution, interpretation, or reporting of this study.</w:t>
      </w:r>
    </w:p>
    <w:p w:rsidR="00000000" w:rsidDel="00000000" w:rsidP="00000000" w:rsidRDefault="00000000" w:rsidRPr="00000000" w14:paraId="00000066">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Originality:</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This manuscript reports original work. It has not been published previously, in whole or in part, and is not under consideration by another journal.</w:t>
      </w:r>
    </w:p>
    <w:p w:rsidR="00000000" w:rsidDel="00000000" w:rsidP="00000000" w:rsidRDefault="00000000" w:rsidRPr="00000000" w14:paraId="00000067">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Funding:</w:t>
      </w:r>
      <w:r w:rsidDel="00000000" w:rsidR="00000000" w:rsidRPr="00000000">
        <w:rPr>
          <w:rFonts w:ascii="Times New Roman" w:cs="Times New Roman" w:eastAsia="Times New Roman" w:hAnsi="Times New Roman"/>
          <w:color w:val="000000"/>
          <w:sz w:val="22"/>
          <w:szCs w:val="22"/>
          <w:rtl w:val="0"/>
        </w:rPr>
        <w:t xml:space="preserve"> This research received no external funding. Quantum hardware access came through IBM's Open Plan, a no-cost public tier.</w:t>
      </w:r>
      <w:r w:rsidDel="00000000" w:rsidR="00000000" w:rsidRPr="00000000">
        <w:rPr>
          <w:rtl w:val="0"/>
        </w:rPr>
      </w:r>
    </w:p>
    <w:p w:rsidR="00000000" w:rsidDel="00000000" w:rsidP="00000000" w:rsidRDefault="00000000" w:rsidRPr="00000000" w14:paraId="00000068">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Data Availability:</w:t>
      </w:r>
      <w:r w:rsidDel="00000000" w:rsidR="00000000" w:rsidRPr="00000000">
        <w:rPr>
          <w:rFonts w:ascii="Times New Roman" w:cs="Times New Roman" w:eastAsia="Times New Roman" w:hAnsi="Times New Roman"/>
          <w:color w:val="000000"/>
          <w:sz w:val="22"/>
          <w:szCs w:val="22"/>
          <w:rtl w:val="0"/>
        </w:rPr>
        <w:t xml:space="preserve"> Execution telemetry (backend identifier, job metadata, measurement counts) generated during this study is available in structured log form upon reasonable request.</w:t>
      </w:r>
      <w:r w:rsidDel="00000000" w:rsidR="00000000" w:rsidRPr="00000000">
        <w:rPr>
          <w:rtl w:val="0"/>
        </w:rPr>
      </w:r>
    </w:p>
    <w:bookmarkStart w:colFirst="0" w:colLast="0" w:name="bookmark=id.k2sbsjedgz5e" w:id="20"/>
    <w:bookmarkEnd w:id="20"/>
    <w:p w:rsidR="00000000" w:rsidDel="00000000" w:rsidP="00000000" w:rsidRDefault="00000000" w:rsidRPr="00000000" w14:paraId="00000069">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Acknowledgements</w:t>
      </w:r>
      <w:r w:rsidDel="00000000" w:rsidR="00000000" w:rsidRPr="00000000">
        <w:rPr>
          <w:rtl w:val="0"/>
        </w:rPr>
      </w:r>
    </w:p>
    <w:p w:rsidR="00000000" w:rsidDel="00000000" w:rsidP="00000000" w:rsidRDefault="00000000" w:rsidRPr="00000000" w14:paraId="0000006A">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author thanks the IBM Quantum Open Plan for providing no-cost access to physical quantum hardware. Without this access, the empirical component of the study would not have been possible.</w:t>
      </w:r>
    </w:p>
    <w:bookmarkStart w:colFirst="0" w:colLast="0" w:name="bookmark=id.67r7ti8sqlo3" w:id="21"/>
    <w:bookmarkEnd w:id="21"/>
    <w:p w:rsidR="00000000" w:rsidDel="00000000" w:rsidP="00000000" w:rsidRDefault="00000000" w:rsidRPr="00000000" w14:paraId="0000006B">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Declaration of AI Use</w:t>
      </w:r>
      <w:r w:rsidDel="00000000" w:rsidR="00000000" w:rsidRPr="00000000">
        <w:rPr>
          <w:rtl w:val="0"/>
        </w:rPr>
      </w:r>
    </w:p>
    <w:p w:rsidR="00000000" w:rsidDel="00000000" w:rsidP="00000000" w:rsidRDefault="00000000" w:rsidRPr="00000000" w14:paraId="0000006C">
      <w:pPr>
        <w:spacing w:after="120" w:before="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During the preparation of this manuscript, the author used an AI assistant (Perplexity AI) to improve language and readability, check grammar and spelling, editing assistance, proofreading and formating references with human verification. All AI-assisted text was reviewed, verified, and edited by the human author, who takes full responsibility for the accuracy, originality, and integrity of the final published work. No AI tool generated, altered, or fabricated empirical data or execution telemetry at any point; all reported hardware results come exclusively from logged Qiskit Runtime job output. No AI tool is listed as an author or co-author on this work.</w:t>
      </w:r>
    </w:p>
    <w:bookmarkStart w:colFirst="0" w:colLast="0" w:name="bookmark=id.rylq5nv36mcf" w:id="22"/>
    <w:bookmarkEnd w:id="22"/>
    <w:p w:rsidR="00000000" w:rsidDel="00000000" w:rsidP="00000000" w:rsidRDefault="00000000" w:rsidRPr="00000000" w14:paraId="0000006D">
      <w:pPr>
        <w:spacing w:after="120" w:before="0" w:line="276" w:lineRule="auto"/>
        <w:ind w:left="-3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References</w:t>
      </w:r>
      <w:r w:rsidDel="00000000" w:rsidR="00000000" w:rsidRPr="00000000">
        <w:rPr>
          <w:rtl w:val="0"/>
        </w:rPr>
      </w:r>
    </w:p>
    <w:p w:rsidR="00000000" w:rsidDel="00000000" w:rsidP="00000000" w:rsidRDefault="00000000" w:rsidRPr="00000000" w14:paraId="0000006E">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Descazeaux, I. (2025). Mapping the narratives of quantum computing in IS: A literature review. </w:t>
      </w:r>
      <w:r w:rsidDel="00000000" w:rsidR="00000000" w:rsidRPr="00000000">
        <w:rPr>
          <w:rFonts w:ascii="Times New Roman" w:cs="Times New Roman" w:eastAsia="Times New Roman" w:hAnsi="Times New Roman"/>
          <w:i w:val="1"/>
          <w:iCs w:val="1"/>
          <w:color w:val="000000"/>
          <w:sz w:val="22"/>
          <w:szCs w:val="22"/>
          <w:rtl w:val="0"/>
        </w:rPr>
        <w:t xml:space="preserve">ICIS 2025 Proceedings</w:t>
      </w:r>
      <w:r w:rsidDel="00000000" w:rsidR="00000000" w:rsidRPr="00000000">
        <w:rPr>
          <w:rFonts w:ascii="Times New Roman" w:cs="Times New Roman" w:eastAsia="Times New Roman" w:hAnsi="Times New Roman"/>
          <w:color w:val="000000"/>
          <w:sz w:val="22"/>
          <w:szCs w:val="22"/>
          <w:rtl w:val="0"/>
        </w:rPr>
        <w:t xml:space="preserve">, Paper 5. </w:t>
      </w:r>
      <w:hyperlink r:id="rId8">
        <w:r w:rsidDel="00000000" w:rsidR="00000000" w:rsidRPr="00000000">
          <w:rPr>
            <w:rFonts w:ascii="Times New Roman" w:cs="Times New Roman" w:eastAsia="Times New Roman" w:hAnsi="Times New Roman"/>
            <w:color w:val="000000"/>
            <w:sz w:val="22"/>
            <w:szCs w:val="22"/>
            <w:u w:val="single"/>
            <w:rtl w:val="0"/>
          </w:rPr>
          <w:t xml:space="preserve">https://aisel.aisnet.org/icis2025/quantum/quantum/5/</w:t>
        </w:r>
      </w:hyperlink>
      <w:r w:rsidDel="00000000" w:rsidR="00000000" w:rsidRPr="00000000">
        <w:rPr>
          <w:rtl w:val="0"/>
        </w:rPr>
      </w:r>
    </w:p>
    <w:p w:rsidR="00000000" w:rsidDel="00000000" w:rsidP="00000000" w:rsidRDefault="00000000" w:rsidRPr="00000000" w14:paraId="0000006F">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Galbraith, J. R. (1974). Organization design: An information processing view. </w:t>
      </w:r>
      <w:r w:rsidDel="00000000" w:rsidR="00000000" w:rsidRPr="00000000">
        <w:rPr>
          <w:rFonts w:ascii="Times New Roman" w:cs="Times New Roman" w:eastAsia="Times New Roman" w:hAnsi="Times New Roman"/>
          <w:i w:val="1"/>
          <w:iCs w:val="1"/>
          <w:color w:val="000000"/>
          <w:sz w:val="22"/>
          <w:szCs w:val="22"/>
          <w:rtl w:val="0"/>
        </w:rPr>
        <w:t xml:space="preserve">Interfaces, 4</w:t>
      </w:r>
      <w:r w:rsidDel="00000000" w:rsidR="00000000" w:rsidRPr="00000000">
        <w:rPr>
          <w:rFonts w:ascii="Times New Roman" w:cs="Times New Roman" w:eastAsia="Times New Roman" w:hAnsi="Times New Roman"/>
          <w:color w:val="000000"/>
          <w:sz w:val="22"/>
          <w:szCs w:val="22"/>
          <w:rtl w:val="0"/>
        </w:rPr>
        <w:t xml:space="preserve">(3), 28–36.</w:t>
      </w:r>
      <w:r w:rsidDel="00000000" w:rsidR="00000000" w:rsidRPr="00000000">
        <w:rPr>
          <w:rtl w:val="0"/>
        </w:rPr>
      </w:r>
    </w:p>
    <w:p w:rsidR="00000000" w:rsidDel="00000000" w:rsidP="00000000" w:rsidRDefault="00000000" w:rsidRPr="00000000" w14:paraId="00000070">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Gerlach, T., Lee, L. K., Barbaresco, F., &amp; Piatkowski, N. (2025). Hybrid quantum-classical multi-agent pathfinding. </w:t>
      </w:r>
      <w:r w:rsidDel="00000000" w:rsidR="00000000" w:rsidRPr="00000000">
        <w:rPr>
          <w:rFonts w:ascii="Times New Roman" w:cs="Times New Roman" w:eastAsia="Times New Roman" w:hAnsi="Times New Roman"/>
          <w:i w:val="1"/>
          <w:iCs w:val="1"/>
          <w:sz w:val="22"/>
          <w:szCs w:val="22"/>
          <w:rtl w:val="0"/>
        </w:rPr>
        <w:t xml:space="preserve">Proceedings of the 42nd International Conference on Machine Learning, PMLR 267</w:t>
      </w:r>
      <w:r w:rsidDel="00000000" w:rsidR="00000000" w:rsidRPr="00000000">
        <w:rPr>
          <w:rFonts w:ascii="Times New Roman" w:cs="Times New Roman" w:eastAsia="Times New Roman" w:hAnsi="Times New Roman"/>
          <w:sz w:val="22"/>
          <w:szCs w:val="22"/>
          <w:rtl w:val="0"/>
        </w:rPr>
        <w:t xml:space="preserve">, 19161–19171. </w:t>
      </w:r>
      <w:hyperlink r:id="rId9">
        <w:r w:rsidDel="00000000" w:rsidR="00000000" w:rsidRPr="00000000">
          <w:rPr>
            <w:rFonts w:ascii="Times New Roman" w:cs="Times New Roman" w:eastAsia="Times New Roman" w:hAnsi="Times New Roman"/>
            <w:color w:val="1155cc"/>
            <w:sz w:val="22"/>
            <w:szCs w:val="22"/>
            <w:u w:val="single"/>
            <w:rtl w:val="0"/>
          </w:rPr>
          <w:t xml:space="preserve">https://proceedings.mlr.press/v267/gerlach25a.html</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1">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i w:val="1"/>
          <w:iCs w:val="1"/>
          <w:color w:val="000000"/>
          <w:sz w:val="22"/>
          <w:szCs w:val="22"/>
          <w:rtl w:val="0"/>
        </w:rPr>
        <w:t xml:space="preserve">MIS Quarterly, 28</w:t>
      </w:r>
      <w:r w:rsidDel="00000000" w:rsidR="00000000" w:rsidRPr="00000000">
        <w:rPr>
          <w:rFonts w:ascii="Times New Roman" w:cs="Times New Roman" w:eastAsia="Times New Roman" w:hAnsi="Times New Roman"/>
          <w:color w:val="000000"/>
          <w:sz w:val="22"/>
          <w:szCs w:val="22"/>
          <w:rtl w:val="0"/>
        </w:rPr>
        <w:t xml:space="preserve">(1), 75–105.</w:t>
      </w:r>
      <w:r w:rsidDel="00000000" w:rsidR="00000000" w:rsidRPr="00000000">
        <w:rPr>
          <w:rtl w:val="0"/>
        </w:rPr>
      </w:r>
    </w:p>
    <w:p w:rsidR="00000000" w:rsidDel="00000000" w:rsidP="00000000" w:rsidRDefault="00000000" w:rsidRPr="00000000" w14:paraId="00000072">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IBM Quantum. (2026). </w:t>
      </w:r>
      <w:r w:rsidDel="00000000" w:rsidR="00000000" w:rsidRPr="00000000">
        <w:rPr>
          <w:rFonts w:ascii="Times New Roman" w:cs="Times New Roman" w:eastAsia="Times New Roman" w:hAnsi="Times New Roman"/>
          <w:i w:val="1"/>
          <w:iCs w:val="1"/>
          <w:color w:val="000000"/>
          <w:sz w:val="22"/>
          <w:szCs w:val="22"/>
          <w:rtl w:val="0"/>
        </w:rPr>
        <w:t xml:space="preserve">Plans overview</w:t>
      </w:r>
      <w:r w:rsidDel="00000000" w:rsidR="00000000" w:rsidRPr="00000000">
        <w:rPr>
          <w:rFonts w:ascii="Times New Roman" w:cs="Times New Roman" w:eastAsia="Times New Roman" w:hAnsi="Times New Roman"/>
          <w:color w:val="000000"/>
          <w:sz w:val="22"/>
          <w:szCs w:val="22"/>
          <w:rtl w:val="0"/>
        </w:rPr>
        <w:t xml:space="preserve">. IBM Quantum Documentation. </w:t>
      </w:r>
      <w:hyperlink r:id="rId10">
        <w:r w:rsidDel="00000000" w:rsidR="00000000" w:rsidRPr="00000000">
          <w:rPr>
            <w:rFonts w:ascii="Times New Roman" w:cs="Times New Roman" w:eastAsia="Times New Roman" w:hAnsi="Times New Roman"/>
            <w:color w:val="000000"/>
            <w:sz w:val="22"/>
            <w:szCs w:val="22"/>
            <w:u w:val="single"/>
            <w:rtl w:val="0"/>
          </w:rPr>
          <w:t xml:space="preserve">https://quantum.cloud.ibm.com/docs/en/guides/plans-overview</w:t>
        </w:r>
      </w:hyperlink>
      <w:r w:rsidDel="00000000" w:rsidR="00000000" w:rsidRPr="00000000">
        <w:rPr>
          <w:rtl w:val="0"/>
        </w:rPr>
      </w:r>
    </w:p>
    <w:p w:rsidR="00000000" w:rsidDel="00000000" w:rsidP="00000000" w:rsidRDefault="00000000" w:rsidRPr="00000000" w14:paraId="00000073">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Jin, W., Du, H., Zhao, B., Tian, X., Shi, B., &amp; Yang, G. (2025). A comprehensive survey on multi-agent cooperative decision-making: Scenarios, approaches, challenges and perspectives. </w:t>
      </w:r>
      <w:r w:rsidDel="00000000" w:rsidR="00000000" w:rsidRPr="00000000">
        <w:rPr>
          <w:rFonts w:ascii="Times New Roman" w:cs="Times New Roman" w:eastAsia="Times New Roman" w:hAnsi="Times New Roman"/>
          <w:i w:val="1"/>
          <w:iCs w:val="1"/>
          <w:color w:val="000000"/>
          <w:sz w:val="22"/>
          <w:szCs w:val="22"/>
          <w:rtl w:val="0"/>
        </w:rPr>
        <w:t xml:space="preserve">arXiv preprint arXiv:2503.13415</w:t>
      </w:r>
      <w:r w:rsidDel="00000000" w:rsidR="00000000" w:rsidRPr="00000000">
        <w:rPr>
          <w:rFonts w:ascii="Times New Roman" w:cs="Times New Roman" w:eastAsia="Times New Roman" w:hAnsi="Times New Roman"/>
          <w:color w:val="000000"/>
          <w:sz w:val="22"/>
          <w:szCs w:val="22"/>
          <w:rtl w:val="0"/>
        </w:rPr>
        <w:t xml:space="preserve">. </w:t>
      </w:r>
      <w:hyperlink r:id="rId11">
        <w:r w:rsidDel="00000000" w:rsidR="00000000" w:rsidRPr="00000000">
          <w:rPr>
            <w:rFonts w:ascii="Times New Roman" w:cs="Times New Roman" w:eastAsia="Times New Roman" w:hAnsi="Times New Roman"/>
            <w:color w:val="000000"/>
            <w:sz w:val="22"/>
            <w:szCs w:val="22"/>
            <w:u w:val="single"/>
            <w:rtl w:val="0"/>
          </w:rPr>
          <w:t xml:space="preserve">https://doi.org/10.48550/arXiv.2503.13415</w:t>
        </w:r>
      </w:hyperlink>
      <w:r w:rsidDel="00000000" w:rsidR="00000000" w:rsidRPr="00000000">
        <w:rPr>
          <w:rtl w:val="0"/>
        </w:rPr>
      </w:r>
    </w:p>
    <w:p w:rsidR="00000000" w:rsidDel="00000000" w:rsidP="00000000" w:rsidRDefault="00000000" w:rsidRPr="00000000" w14:paraId="00000074">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Kwon, O., Kwon, S., Jung, T., &amp; Alimamy, S. (2026). Factors influencing the adoption intent of quantum computing in enterprises: An innovation adoption process perspective. </w:t>
      </w:r>
      <w:r w:rsidDel="00000000" w:rsidR="00000000" w:rsidRPr="00000000">
        <w:rPr>
          <w:rFonts w:ascii="Times New Roman" w:cs="Times New Roman" w:eastAsia="Times New Roman" w:hAnsi="Times New Roman"/>
          <w:i w:val="1"/>
          <w:iCs w:val="1"/>
          <w:sz w:val="22"/>
          <w:szCs w:val="22"/>
          <w:rtl w:val="0"/>
        </w:rPr>
        <w:t xml:space="preserve">International Journal of Information Management, 86</w:t>
      </w:r>
      <w:r w:rsidDel="00000000" w:rsidR="00000000" w:rsidRPr="00000000">
        <w:rPr>
          <w:rFonts w:ascii="Times New Roman" w:cs="Times New Roman" w:eastAsia="Times New Roman" w:hAnsi="Times New Roman"/>
          <w:sz w:val="22"/>
          <w:szCs w:val="22"/>
          <w:rtl w:val="0"/>
        </w:rPr>
        <w:t xml:space="preserve">, Article 102978. </w:t>
      </w:r>
      <w:hyperlink r:id="rId12">
        <w:r w:rsidDel="00000000" w:rsidR="00000000" w:rsidRPr="00000000">
          <w:rPr>
            <w:rFonts w:ascii="Times New Roman" w:cs="Times New Roman" w:eastAsia="Times New Roman" w:hAnsi="Times New Roman"/>
            <w:color w:val="1155cc"/>
            <w:sz w:val="22"/>
            <w:szCs w:val="22"/>
            <w:u w:val="single"/>
            <w:rtl w:val="0"/>
          </w:rPr>
          <w:t xml:space="preserve">https://doi.org/10.1016/j.ijinfomgt.2025.102978</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5">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Preskill, J. (2018). Quantum computing in the NISQ era and beyond. </w:t>
      </w:r>
      <w:r w:rsidDel="00000000" w:rsidR="00000000" w:rsidRPr="00000000">
        <w:rPr>
          <w:rFonts w:ascii="Times New Roman" w:cs="Times New Roman" w:eastAsia="Times New Roman" w:hAnsi="Times New Roman"/>
          <w:i w:val="1"/>
          <w:iCs w:val="1"/>
          <w:color w:val="000000"/>
          <w:sz w:val="22"/>
          <w:szCs w:val="22"/>
          <w:rtl w:val="0"/>
        </w:rPr>
        <w:t xml:space="preserve">Quantum, 2</w:t>
      </w:r>
      <w:r w:rsidDel="00000000" w:rsidR="00000000" w:rsidRPr="00000000">
        <w:rPr>
          <w:rFonts w:ascii="Times New Roman" w:cs="Times New Roman" w:eastAsia="Times New Roman" w:hAnsi="Times New Roman"/>
          <w:color w:val="000000"/>
          <w:sz w:val="22"/>
          <w:szCs w:val="22"/>
          <w:rtl w:val="0"/>
        </w:rPr>
        <w:t xml:space="preserve">, 79. </w:t>
      </w:r>
      <w:hyperlink r:id="rId13">
        <w:r w:rsidDel="00000000" w:rsidR="00000000" w:rsidRPr="00000000">
          <w:rPr>
            <w:rFonts w:ascii="Times New Roman" w:cs="Times New Roman" w:eastAsia="Times New Roman" w:hAnsi="Times New Roman"/>
            <w:color w:val="000000"/>
            <w:sz w:val="22"/>
            <w:szCs w:val="22"/>
            <w:u w:val="single"/>
            <w:rtl w:val="0"/>
          </w:rPr>
          <w:t xml:space="preserve">https://doi.org/10.22331/q-2018-08-06-79</w:t>
        </w:r>
      </w:hyperlink>
      <w:r w:rsidDel="00000000" w:rsidR="00000000" w:rsidRPr="00000000">
        <w:rPr>
          <w:rtl w:val="0"/>
        </w:rPr>
      </w:r>
    </w:p>
    <w:p w:rsidR="00000000" w:rsidDel="00000000" w:rsidP="00000000" w:rsidRDefault="00000000" w:rsidRPr="00000000" w14:paraId="00000076">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Romeo, E., &amp; Lacko, J. (2026). Adoption and integration of AI in organizations: A systematic review of challenges and drivers towards future directions of research. </w:t>
      </w:r>
      <w:r w:rsidDel="00000000" w:rsidR="00000000" w:rsidRPr="00000000">
        <w:rPr>
          <w:rFonts w:ascii="Times New Roman" w:cs="Times New Roman" w:eastAsia="Times New Roman" w:hAnsi="Times New Roman"/>
          <w:i w:val="1"/>
          <w:iCs w:val="1"/>
          <w:color w:val="000000"/>
          <w:sz w:val="22"/>
          <w:szCs w:val="22"/>
          <w:rtl w:val="0"/>
        </w:rPr>
        <w:t xml:space="preserve">Kybernetes, 55</w:t>
      </w:r>
      <w:r w:rsidDel="00000000" w:rsidR="00000000" w:rsidRPr="00000000">
        <w:rPr>
          <w:rFonts w:ascii="Times New Roman" w:cs="Times New Roman" w:eastAsia="Times New Roman" w:hAnsi="Times New Roman"/>
          <w:color w:val="000000"/>
          <w:sz w:val="22"/>
          <w:szCs w:val="22"/>
          <w:rtl w:val="0"/>
        </w:rPr>
        <w:t xml:space="preserve">(3), 1286–1307. </w:t>
      </w:r>
      <w:hyperlink r:id="rId14">
        <w:r w:rsidDel="00000000" w:rsidR="00000000" w:rsidRPr="00000000">
          <w:rPr>
            <w:rFonts w:ascii="Times New Roman" w:cs="Times New Roman" w:eastAsia="Times New Roman" w:hAnsi="Times New Roman"/>
            <w:color w:val="000000"/>
            <w:sz w:val="22"/>
            <w:szCs w:val="22"/>
            <w:u w:val="single"/>
            <w:rtl w:val="0"/>
          </w:rPr>
          <w:t xml:space="preserve">https://doi.org/10.1108/K-07-2024-2002</w:t>
        </w:r>
      </w:hyperlink>
      <w:r w:rsidDel="00000000" w:rsidR="00000000" w:rsidRPr="00000000">
        <w:rPr>
          <w:rtl w:val="0"/>
        </w:rPr>
      </w:r>
    </w:p>
    <w:p w:rsidR="00000000" w:rsidDel="00000000" w:rsidP="00000000" w:rsidRDefault="00000000" w:rsidRPr="00000000" w14:paraId="00000077">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Sarin, G., Reddy, Y. S., &amp; Sarin, M. (2026). Leveraging quantum computing business applications: A B-SLR approach and future research directions. </w:t>
      </w:r>
      <w:r w:rsidDel="00000000" w:rsidR="00000000" w:rsidRPr="00000000">
        <w:rPr>
          <w:rFonts w:ascii="Times New Roman" w:cs="Times New Roman" w:eastAsia="Times New Roman" w:hAnsi="Times New Roman"/>
          <w:i w:val="1"/>
          <w:iCs w:val="1"/>
          <w:sz w:val="22"/>
          <w:szCs w:val="22"/>
          <w:rtl w:val="0"/>
        </w:rPr>
        <w:t xml:space="preserve">EPJ Quantum Technology, 13</w:t>
      </w:r>
      <w:r w:rsidDel="00000000" w:rsidR="00000000" w:rsidRPr="00000000">
        <w:rPr>
          <w:rFonts w:ascii="Times New Roman" w:cs="Times New Roman" w:eastAsia="Times New Roman" w:hAnsi="Times New Roman"/>
          <w:sz w:val="22"/>
          <w:szCs w:val="22"/>
          <w:rtl w:val="0"/>
        </w:rPr>
        <w:t xml:space="preserve">, Article 28. </w:t>
      </w:r>
      <w:hyperlink r:id="rId15">
        <w:r w:rsidDel="00000000" w:rsidR="00000000" w:rsidRPr="00000000">
          <w:rPr>
            <w:rFonts w:ascii="Times New Roman" w:cs="Times New Roman" w:eastAsia="Times New Roman" w:hAnsi="Times New Roman"/>
            <w:color w:val="1155cc"/>
            <w:sz w:val="22"/>
            <w:szCs w:val="22"/>
            <w:u w:val="single"/>
            <w:rtl w:val="0"/>
          </w:rPr>
          <w:t xml:space="preserve">https://doi.org/10.1140/epjqt/s40507-026-00475-1</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78">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Shi, H., Han, C., Wang, P., &amp; Zhang, M. (2025). Hybrid quantum-classical multi-agent decision-making framework based on hierarchical Bayesian networks in the noisy intermediate-scale quantum era. </w:t>
      </w:r>
      <w:r w:rsidDel="00000000" w:rsidR="00000000" w:rsidRPr="00000000">
        <w:rPr>
          <w:rFonts w:ascii="Times New Roman" w:cs="Times New Roman" w:eastAsia="Times New Roman" w:hAnsi="Times New Roman"/>
          <w:i w:val="1"/>
          <w:iCs w:val="1"/>
          <w:color w:val="000000"/>
          <w:sz w:val="22"/>
          <w:szCs w:val="22"/>
          <w:rtl w:val="0"/>
        </w:rPr>
        <w:t xml:space="preserve">Chinese Physics B, 34</w:t>
      </w:r>
      <w:r w:rsidDel="00000000" w:rsidR="00000000" w:rsidRPr="00000000">
        <w:rPr>
          <w:rFonts w:ascii="Times New Roman" w:cs="Times New Roman" w:eastAsia="Times New Roman" w:hAnsi="Times New Roman"/>
          <w:color w:val="000000"/>
          <w:sz w:val="22"/>
          <w:szCs w:val="22"/>
          <w:rtl w:val="0"/>
        </w:rPr>
        <w:t xml:space="preserve">(12), Article 120304. </w:t>
      </w:r>
      <w:hyperlink r:id="rId16">
        <w:r w:rsidDel="00000000" w:rsidR="00000000" w:rsidRPr="00000000">
          <w:rPr>
            <w:rFonts w:ascii="Times New Roman" w:cs="Times New Roman" w:eastAsia="Times New Roman" w:hAnsi="Times New Roman"/>
            <w:color w:val="000000"/>
            <w:sz w:val="22"/>
            <w:szCs w:val="22"/>
            <w:u w:val="single"/>
            <w:rtl w:val="0"/>
          </w:rPr>
          <w:t xml:space="preserve">https://cpb.iphy.ac.cn/EN/10.1088/1674-1056/adefd7</w:t>
        </w:r>
      </w:hyperlink>
      <w:r w:rsidDel="00000000" w:rsidR="00000000" w:rsidRPr="00000000">
        <w:rPr>
          <w:rtl w:val="0"/>
        </w:rPr>
      </w:r>
    </w:p>
    <w:p w:rsidR="00000000" w:rsidDel="00000000" w:rsidP="00000000" w:rsidRDefault="00000000" w:rsidRPr="00000000" w14:paraId="00000079">
      <w:pPr>
        <w:spacing w:after="120" w:before="0" w:line="276" w:lineRule="auto"/>
        <w:ind w:left="720" w:hanging="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Tornatzky, L. G., &amp; Fleischer, M. (1990). </w:t>
      </w:r>
      <w:r w:rsidDel="00000000" w:rsidR="00000000" w:rsidRPr="00000000">
        <w:rPr>
          <w:rFonts w:ascii="Times New Roman" w:cs="Times New Roman" w:eastAsia="Times New Roman" w:hAnsi="Times New Roman"/>
          <w:i w:val="1"/>
          <w:iCs w:val="1"/>
          <w:sz w:val="22"/>
          <w:szCs w:val="22"/>
          <w:rtl w:val="0"/>
        </w:rPr>
        <w:t xml:space="preserve">The processes of technological innovation.</w:t>
      </w:r>
      <w:r w:rsidDel="00000000" w:rsidR="00000000" w:rsidRPr="00000000">
        <w:rPr>
          <w:rFonts w:ascii="Times New Roman" w:cs="Times New Roman" w:eastAsia="Times New Roman" w:hAnsi="Times New Roman"/>
          <w:sz w:val="22"/>
          <w:szCs w:val="22"/>
          <w:rtl w:val="0"/>
        </w:rPr>
        <w:t xml:space="preserve"> Lexington, MA: Lexington Books.</w:t>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table" w:styleId="TableNormal" w:default="1">
    <w:name w:val="Normal Table"/>
    <w:uiPriority w:val="99"/>
    <w:semiHidden w:val="1"/>
    <w:unhideWhenUsed w:val="1"/>
    <w:tblPr>
      <w:tblInd w:w="0.0" w:type="dxa"/>
      <w:tblCellMar>
        <w:top w:w="80.0" w:type="dxa"/>
        <w:left w:w="160.0" w:type="dxa"/>
        <w:bottom w:w="80.0" w:type="dxa"/>
        <w:right w:w="160.0" w:type="dxa"/>
      </w:tblCellMar>
    </w:tblPr>
  </w:style>
  <w:style w:type="table" w:styleId="TableGrid">
    <w:name w:val="Normal Grid"/>
    <w:basedOn w:val="TableNormal"/>
    <w:uiPriority w:val="39"/>
    <w:pPr>
      <w:spacing w:after="0" w:line="240" w:lineRule="auto"/>
    </w:pPr>
    <w:tblPr>
      <w:tblInd w:w="0.0" w:type="dxa"/>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48550/arXiv.2503.13415" TargetMode="External"/><Relationship Id="rId10" Type="http://schemas.openxmlformats.org/officeDocument/2006/relationships/hyperlink" Target="https://quantum.cloud.ibm.com/docs/en/guides/plans-overview" TargetMode="External"/><Relationship Id="rId13" Type="http://schemas.openxmlformats.org/officeDocument/2006/relationships/hyperlink" Target="https://doi.org/10.22331/q-2018-08-06-79" TargetMode="External"/><Relationship Id="rId12" Type="http://schemas.openxmlformats.org/officeDocument/2006/relationships/hyperlink" Target="https://doi.org/10.1016/j.ijinfomgt.2025.1029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ceedings.mlr.press/v267/gerlach25a.html" TargetMode="External"/><Relationship Id="rId15" Type="http://schemas.openxmlformats.org/officeDocument/2006/relationships/hyperlink" Target="https://doi.org/10.1140/epjqt/s40507-026-00475-1" TargetMode="External"/><Relationship Id="rId14" Type="http://schemas.openxmlformats.org/officeDocument/2006/relationships/hyperlink" Target="https://doi.org/10.1108/K-07-2024-2002" TargetMode="External"/><Relationship Id="rId17" Type="http://schemas.openxmlformats.org/officeDocument/2006/relationships/header" Target="header1.xml"/><Relationship Id="rId16" Type="http://schemas.openxmlformats.org/officeDocument/2006/relationships/hyperlink" Target="https://cpb.iphy.ac.cn/EN/10.1088/1674-1056/adefd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ererakawin@gmail.com" TargetMode="External"/><Relationship Id="rId8" Type="http://schemas.openxmlformats.org/officeDocument/2006/relationships/hyperlink" Target="https://aisel.aisnet.org/icis2025/quantum/quantum/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qETruGLLkUj8nniCV6bYSwJNQ==">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2026-08-21T21:00:47.081Z</dcterms:created>
  <dc:creator>html-to-docx</dc:creator>
</cp:coreProperties>
</file>