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7F2"/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E6C0" w:val="clear"/>
          </w:tcPr>
          <w:p>
            <w:pPr>
              <w:spacing w:after="80" w:before="80" w:line="240" w:lineRule="auto"/>
            </w:pPr>
            <w:r>
              <w:rPr>
                <w:rFonts w:ascii="Calibri" w:hAnsi="Calibri"/>
                <w:b/>
                <w:color w:val="1C1917"/>
                <w:sz w:val="22"/>
              </w:rPr>
              <w:t>RAPIDO  ·  MEMO TO THE HEAD OF SUPPLY  ·  Ramanathan K R  ·  10 Sep 2026  ·  extract 30 Jun 2026, 23:59 IST</w:t>
            </w:r>
          </w:p>
        </w:tc>
      </w:tr>
    </w:tbl>
    <w:p>
      <w:pPr>
        <w:spacing w:after="80" w:before="0" w:line="240" w:lineRule="auto"/>
      </w:pPr>
    </w:p>
    <w:p>
      <w:pPr>
        <w:spacing w:after="160" w:before="0" w:line="240" w:lineRule="auto"/>
      </w:pPr>
      <w:r>
        <w:rPr>
          <w:rFonts w:ascii="Cambria" w:hAnsi="Cambria"/>
          <w:b/>
          <w:color w:val="1C1917"/>
          <w:sz w:val="36"/>
        </w:rPr>
        <w:t>~180 more approved captains a month — two photo fixes, not five programmes</w:t>
      </w:r>
    </w:p>
    <w:p>
      <w:pPr>
        <w:spacing w:after="160" w:before="0" w:line="240" w:lineRule="auto"/>
      </w:pPr>
      <w:r>
        <w:rPr>
          <w:rFonts w:ascii="Calibri" w:hAnsi="Calibri"/>
          <w:b w:val="0"/>
          <w:color w:val="1C1917"/>
          <w:sz w:val="23"/>
        </w:rPr>
        <w:t>Bank only two disjoint capture fixes: ~134/month from a 10-day in-person RC grace (C1a) and ~50 from Insurance upload UX (C1b). 98.7% of mature approved captains already take a first trip (3,895 / 3,946) — documents are the bottleneck, not first-order. Show-up for RC is unobserved; if Legal will not treat deferred RC as activation, C1a shrinks toward ~36/month. The campaign number I would put my name on is 0 pp, not 5×.</w:t>
      </w:r>
    </w:p>
    <w:p>
      <w:pPr>
        <w:spacing w:after="8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407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40727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971800" cy="17450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airport_n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4502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160" w:before="0" w:line="240" w:lineRule="auto"/>
        <w:jc w:val="center"/>
      </w:pPr>
      <w:r>
        <w:rPr>
          <w:rFonts w:ascii="Calibri" w:hAnsi="Calibri"/>
          <w:b w:val="0"/>
          <w:color w:val="57534E"/>
          <w:sz w:val="21"/>
        </w:rPr>
        <w:t>Left: bank C1a + C1b only. Right: 84% of airport unfulfilled volume is 21:00–03:59.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C9A0" w:val="clear"/>
          </w:tcPr>
          <w:p>
            <w:pPr>
              <w:spacing w:after="80" w:before="80" w:line="240" w:lineRule="auto"/>
            </w:pPr>
            <w:r>
              <w:rPr>
                <w:rFonts w:ascii="Calibri" w:hAnsi="Calibri"/>
                <w:b/>
                <w:color w:val="1C1917"/>
                <w:sz w:val="24"/>
              </w:rPr>
              <w:t>PAGE 1  ·  WHAT TO DO THIS WEEK</w:t>
            </w:r>
          </w:p>
        </w:tc>
      </w:tr>
    </w:tbl>
    <w:p>
      <w:pPr>
        <w:spacing w:after="80" w:before="0" w:line="240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576"/>
            <w:shd w:fill="F0C9A0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1C1917"/>
                <w:sz w:val="21"/>
              </w:rPr>
              <w:t>#</w:t>
            </w:r>
          </w:p>
        </w:tc>
        <w:tc>
          <w:tcPr>
            <w:tcW w:type="dxa" w:w="3600"/>
            <w:shd w:fill="F0C9A0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1C1917"/>
                <w:sz w:val="21"/>
              </w:rPr>
              <w:t>Do this</w:t>
            </w:r>
          </w:p>
        </w:tc>
        <w:tc>
          <w:tcPr>
            <w:tcW w:type="dxa" w:w="2232"/>
            <w:shd w:fill="F0C9A0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1C1917"/>
                <w:sz w:val="21"/>
              </w:rPr>
              <w:t>Impact</w:t>
            </w:r>
          </w:p>
        </w:tc>
        <w:tc>
          <w:tcPr>
            <w:tcW w:type="dxa" w:w="2448"/>
            <w:shd w:fill="F0C9A0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1C1917"/>
                <w:sz w:val="21"/>
              </w:rPr>
              <w:t>Cost / risk</w:t>
            </w:r>
          </w:p>
        </w:tc>
        <w:tc>
          <w:tcPr>
            <w:tcW w:type="dxa" w:w="2160"/>
            <w:shd w:fill="F0C9A0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1C1917"/>
                <w:sz w:val="21"/>
              </w:rPr>
              <w:t>Watch</w:t>
            </w:r>
          </w:p>
        </w:tc>
      </w:tr>
      <w:tr>
        <w:tc>
          <w:tcPr>
            <w:tcW w:type="dxa" w:w="576"/>
            <w:shd w:fill="F6E4D4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/>
                <w:color w:val="1C1917"/>
                <w:sz w:val="20"/>
              </w:rPr>
              <w:t>1</w:t>
            </w:r>
          </w:p>
        </w:tc>
        <w:tc>
          <w:tcPr>
            <w:tcW w:type="dxa" w:w="3600"/>
            <w:shd w:fill="F6E4D4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C1b Insurance camera this week (411). Then C1a 10-day RC grace after Legal (1,637). Same camera on other docs: free rider, not in 180.</w:t>
            </w:r>
          </w:p>
        </w:tc>
        <w:tc>
          <w:tcPr>
            <w:tcW w:type="dxa" w:w="2232"/>
            <w:shd w:fill="F6E4D4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~180/mo (~50 + ~134)</w:t>
            </w:r>
          </w:p>
        </w:tc>
        <w:tc>
          <w:tcPr>
            <w:tcW w:type="dxa" w:w="2448"/>
            <w:shd w:fill="F6E4D4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C1b: engineering. C1a: Legal/T&amp;S + ~1 FTE ₹40–60k (assumed).</w:t>
            </w:r>
          </w:p>
        </w:tc>
        <w:tc>
          <w:tcPr>
            <w:tcW w:type="dxa" w:w="2160"/>
            <w:shd w:fill="F6E4D4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Approved by cohort</w:t>
            </w:r>
          </w:p>
        </w:tc>
      </w:tr>
      <w:tr>
        <w:tc>
          <w:tcPr>
            <w:tcW w:type="dxa" w:w="576"/>
            <w:shd w:fill="F8F1E3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/>
                <w:color w:val="1C1917"/>
                <w:sz w:val="20"/>
              </w:rPr>
              <w:t>2</w:t>
            </w:r>
          </w:p>
        </w:tc>
        <w:tc>
          <w:tcPr>
            <w:tcW w:type="dxa" w:w="3600"/>
            <w:shd w:fill="F8F1E3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Airport Return Assurance at ₹35.4 / unpaid night-suburban leg. Do not hire the catchment.</w:t>
            </w:r>
          </w:p>
        </w:tc>
        <w:tc>
          <w:tcPr>
            <w:tcW w:type="dxa" w:w="2232"/>
            <w:shd w:fill="F8F1E3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Sample ~₹69–103k/mo. Restores rest-suburban net.</w:t>
            </w:r>
          </w:p>
        </w:tc>
        <w:tc>
          <w:tcPr>
            <w:tcW w:type="dxa" w:w="2448"/>
            <w:shd w:fill="F8F1E3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Sampled trips ≠ city P&amp;L. Not city-core.</w:t>
            </w:r>
          </w:p>
        </w:tc>
        <w:tc>
          <w:tcPr>
            <w:tcW w:type="dxa" w:w="2160"/>
            <w:shd w:fill="F8F1E3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Return-in-20m, cancels, falling 4-wk run-rate</w:t>
            </w:r>
          </w:p>
        </w:tc>
      </w:tr>
      <w:tr>
        <w:tc>
          <w:tcPr>
            <w:tcW w:type="dxa" w:w="576"/>
            <w:shd w:fill="F6E4D4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/>
                <w:color w:val="1C1917"/>
                <w:sz w:val="20"/>
              </w:rPr>
              <w:t>3</w:t>
            </w:r>
          </w:p>
        </w:tc>
        <w:tc>
          <w:tcPr>
            <w:tcW w:type="dxa" w:w="3600"/>
            <w:shd w:fill="F6E4D4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Kill CAMP_WA_002 5×. Send/no-send RCT on RC-cleared app/paid captains, no other campaign.</w:t>
            </w:r>
          </w:p>
        </w:tc>
        <w:tc>
          <w:tcPr>
            <w:tcW w:type="dxa" w:w="2232"/>
            <w:shd w:fill="F6E4D4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0 pp lift. Cost avoided + 4–6 week answer.</w:t>
            </w:r>
          </w:p>
        </w:tc>
        <w:tc>
          <w:tcPr>
            <w:tcW w:type="dxa" w:w="2448"/>
            <w:shd w:fill="F6E4D4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Near zero</w:t>
            </w:r>
          </w:p>
        </w:tc>
        <w:tc>
          <w:tcPr>
            <w:tcW w:type="dxa" w:w="2160"/>
            <w:shd w:fill="F6E4D4" w:val="clear"/>
          </w:tcPr>
          <w:p>
            <w:pPr>
              <w:spacing w:after="8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Aadhaar pass and approved</w:t>
            </w:r>
          </w:p>
        </w:tc>
      </w:tr>
    </w:tbl>
    <w:p>
      <w:pPr>
        <w:spacing w:after="160" w:before="0"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040"/>
            <w:shd w:fill="F6E4D4" w:val="clear"/>
          </w:tcPr>
          <w:p>
            <w:r>
              <w:rPr>
                <w:rFonts w:ascii="Calibri" w:hAnsi="Calibri"/>
                <w:b/>
                <w:color w:val="1C1917"/>
                <w:sz w:val="24"/>
              </w:rPr>
              <w:t>Why rec 2 is “do not hire”</w:t>
              <w:br/>
            </w:r>
            <w:r>
              <w:rPr>
                <w:rFonts w:ascii="Calibri" w:hAnsi="Calibri"/>
                <w:b w:val="0"/>
                <w:color w:val="1C1917"/>
                <w:sz w:val="21"/>
              </w:rPr>
              <w:t>Terminals ~40% unfulfilled vs ~3% elsewhere. After the trip, suburban backhaul and overnight return-collapse compound. Mix does not shift after dark (χ² p=0.12). New hires inherit both penalties. Price the deadhead for 4 weeks; hire only if the payout run-rate is not falling.</w:t>
            </w:r>
          </w:p>
        </w:tc>
        <w:tc>
          <w:tcPr>
            <w:tcW w:type="dxa" w:w="5112"/>
            <w:shd w:fill="F8F1E3" w:val="clear"/>
          </w:tcPr>
          <w:p>
            <w:r>
              <w:rPr>
                <w:rFonts w:ascii="Calibri" w:hAnsi="Calibri"/>
                <w:b/>
                <w:color w:val="1C1917"/>
                <w:sz w:val="24"/>
              </w:rPr>
              <w:t>Why rec 3 is a hard no on 5×</w:t>
              <w:br/>
            </w:r>
            <w:r>
              <w:rPr>
                <w:rFonts w:ascii="Calibri" w:hAnsi="Calibri"/>
                <w:b w:val="0"/>
                <w:color w:val="1C1917"/>
                <w:sz w:val="21"/>
              </w:rPr>
              <w:t>Clicked vs not (delivered): −1.5pp, CI −3.6 to +0.6 → 0 pp. The 29% vs 11% “got CAMP” gap is targeting after RC, not lift. That same null is why never-upload is not another WhatsApp. Redirect the paper into a send/no-send RCT this week.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E6C0" w:val="clear"/>
          </w:tcPr>
          <w:p>
            <w:pPr>
              <w:spacing w:after="80" w:before="80" w:line="240" w:lineRule="auto"/>
            </w:pPr>
            <w:r>
              <w:rPr>
                <w:rFonts w:ascii="Calibri" w:hAnsi="Calibri"/>
                <w:b/>
                <w:color w:val="1C1917"/>
                <w:sz w:val="24"/>
              </w:rPr>
              <w:t>PAGE 2  ·  WHY THESE TWO STAGES, WHAT WE LEFT, WHAT WOULD CHANGE MY MIND</w:t>
            </w:r>
          </w:p>
        </w:tc>
      </w:tr>
    </w:tbl>
    <w:p>
      <w:pPr>
        <w:spacing w:after="80" w:before="0" w:line="240" w:lineRule="auto"/>
      </w:pPr>
    </w:p>
    <w:p>
      <w:pPr>
        <w:spacing w:after="120" w:before="0" w:line="240" w:lineRule="auto"/>
      </w:pPr>
      <w:r>
        <w:rPr>
          <w:rFonts w:ascii="Calibri" w:hAnsi="Calibri"/>
          <w:b w:val="0"/>
          <w:color w:val="1C1917"/>
          <w:sz w:val="22"/>
        </w:rPr>
        <w:t>The deck shows the leaks. This page is the bound: what is C1a vs leftover, how ₹35.4 is derived, and which piles I refuse to add to 180. RC loses 5,405 people — largest stage — but only 1,637 failed solely on blur / OCR / illegible. Insurance loses 3,289; ~2,530 never uploaded after Fitness. C1b is the 411 photo fails and cannot defer (liability). DL (1,166) is 100% uploaded-fail and cannot be deferred. Aadhaar / Permit / Fitness (1,540 / 2,616 / 2,653) are mostly never-upload or eligibility. Rejected 409 already cleared docs — a gate.</w:t>
      </w:r>
    </w:p>
    <w:p>
      <w:pPr>
        <w:spacing w:after="8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651760" cy="14812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rc_cap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48122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651760" cy="13619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e_c1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36190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pPr>
        <w:spacing w:after="80" w:before="0" w:line="240" w:lineRule="auto"/>
        <w:jc w:val="center"/>
      </w:pPr>
      <w:r>
        <w:rPr>
          <w:rFonts w:ascii="Calibri" w:hAnsi="Calibri"/>
          <w:b w:val="0"/>
          <w:color w:val="57534E"/>
          <w:sz w:val="21"/>
        </w:rPr>
        <w:t>Left: 1,637 of 5,405 RC losses are C1a. Right: 411 of 3,289 Insurance leftovers are C1b.</w:t>
      </w:r>
    </w:p>
    <w:p>
      <w:pPr>
        <w:spacing w:after="8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7331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volume_l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31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3E6C0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1C1917"/>
                <w:sz w:val="22"/>
              </w:rPr>
              <w:t>Fix</w:t>
            </w:r>
          </w:p>
        </w:tc>
        <w:tc>
          <w:tcPr>
            <w:tcW w:type="dxa" w:w="2736"/>
            <w:shd w:fill="F3E6C0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1C1917"/>
                <w:sz w:val="22"/>
              </w:rPr>
              <w:t>Flow</w:t>
            </w:r>
          </w:p>
        </w:tc>
        <w:tc>
          <w:tcPr>
            <w:tcW w:type="dxa" w:w="3312"/>
            <w:shd w:fill="F3E6C0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1C1917"/>
                <w:sz w:val="22"/>
              </w:rPr>
              <w:t>Maths</w:t>
            </w:r>
          </w:p>
        </w:tc>
        <w:tc>
          <w:tcPr>
            <w:tcW w:type="dxa" w:w="1584"/>
            <w:shd w:fill="F3E6C0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1C1917"/>
                <w:sz w:val="22"/>
              </w:rPr>
              <w:t>Bank</w:t>
            </w:r>
          </w:p>
        </w:tc>
      </w:tr>
      <w:tr>
        <w:tc>
          <w:tcPr>
            <w:tcW w:type="dxa" w:w="2592"/>
            <w:shd w:fill="F8F1E3" w:val="clear"/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C1917"/>
                <w:sz w:val="21"/>
              </w:rPr>
              <w:t>C1a RC grace</w:t>
            </w:r>
          </w:p>
        </w:tc>
        <w:tc>
          <w:tcPr>
            <w:tcW w:type="dxa" w:w="2736"/>
            <w:shd w:fill="F8F1E3" w:val="clear"/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C1917"/>
                <w:sz w:val="21"/>
              </w:rPr>
              <w:t>~300/mo capture-only</w:t>
            </w:r>
          </w:p>
        </w:tc>
        <w:tc>
          <w:tcPr>
            <w:tcW w:type="dxa" w:w="3312"/>
            <w:shd w:fill="F8F1E3" w:val="clear"/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C1917"/>
                <w:sz w:val="21"/>
              </w:rPr>
              <w:t>× 60% show-up × 74% pass</w:t>
            </w:r>
          </w:p>
        </w:tc>
        <w:tc>
          <w:tcPr>
            <w:tcW w:type="dxa" w:w="1584"/>
            <w:shd w:fill="F8F1E3" w:val="clear"/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1C1917"/>
                <w:sz w:val="21"/>
              </w:rPr>
              <w:t>~134/mo</w:t>
            </w:r>
          </w:p>
        </w:tc>
      </w:tr>
      <w:tr>
        <w:tc>
          <w:tcPr>
            <w:tcW w:type="dxa" w:w="2592"/>
            <w:shd w:fill="F8F1E3" w:val="clear"/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C1917"/>
                <w:sz w:val="21"/>
              </w:rPr>
              <w:t>C1b Insurance UX</w:t>
            </w:r>
          </w:p>
        </w:tc>
        <w:tc>
          <w:tcPr>
            <w:tcW w:type="dxa" w:w="2736"/>
            <w:shd w:fill="F8F1E3" w:val="clear"/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C1917"/>
                <w:sz w:val="21"/>
              </w:rPr>
              <w:t>411 capture-only</w:t>
            </w:r>
          </w:p>
        </w:tc>
        <w:tc>
          <w:tcPr>
            <w:tcW w:type="dxa" w:w="3312"/>
            <w:shd w:fill="F8F1E3" w:val="clear"/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 w:val="0"/>
                <w:color w:val="1C1917"/>
                <w:sz w:val="21"/>
              </w:rPr>
              <w:t>67→76% × 91% approved-if-cleared</w:t>
            </w:r>
          </w:p>
        </w:tc>
        <w:tc>
          <w:tcPr>
            <w:tcW w:type="dxa" w:w="1584"/>
            <w:shd w:fill="F8F1E3" w:val="clear"/>
          </w:tcPr>
          <w:p>
            <w:pPr>
              <w:spacing w:after="60" w:before="40" w:line="240" w:lineRule="auto"/>
            </w:pPr>
            <w:r>
              <w:rPr>
                <w:rFonts w:ascii="Calibri" w:hAnsi="Calibri"/>
                <w:b/>
                <w:color w:val="1C1917"/>
                <w:sz w:val="21"/>
              </w:rPr>
              <w:t>~46–52/mo</w:t>
            </w:r>
          </w:p>
        </w:tc>
      </w:tr>
    </w:tbl>
    <w:p>
      <w:pPr>
        <w:spacing w:after="120" w:before="0" w:line="240" w:lineRule="auto"/>
      </w:pPr>
      <w:r>
        <w:rPr>
          <w:rFonts w:ascii="Calibri" w:hAnsi="Calibri"/>
          <w:b w:val="0"/>
          <w:color w:val="1C1917"/>
          <w:sz w:val="22"/>
        </w:rPr>
        <w:t>40–80% show-up → ~89–188. If remaining docs still bind after RC, P(approved | passed RC)=27% → ~36/month (Legal ask).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fill="F0C9A0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1C1917"/>
                <w:sz w:val="21"/>
              </w:rPr>
              <w:t>NOT BANKED</w:t>
            </w:r>
          </w:p>
        </w:tc>
        <w:tc>
          <w:tcPr>
            <w:tcW w:type="dxa" w:w="3456"/>
            <w:shd w:fill="F3E6C0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1C1917"/>
                <w:sz w:val="21"/>
              </w:rPr>
              <w:t>ARA (not 30% of fare)</w:t>
            </w:r>
          </w:p>
        </w:tc>
        <w:tc>
          <w:tcPr>
            <w:tcW w:type="dxa" w:w="3456"/>
            <w:shd w:fill="F6E4D4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/>
                <w:color w:val="1C1917"/>
                <w:sz w:val="21"/>
              </w:rPr>
              <w:t>ASSUMPTIONS / WHAT WOULD CHANGE IT</w:t>
            </w:r>
          </w:p>
        </w:tc>
      </w:tr>
      <w:tr>
        <w:tc>
          <w:tcPr>
            <w:tcW w:type="dxa" w:w="3456"/>
            <w:shd w:fill="FFFFFF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Other-doc camera after C1b: measure, not +180. Never-upload RC ~2,388 / Insurance ~2,530: assist RCT, not WhatsApp (CAMP 0 pp). Overlaps 726 C1a. Paid never-starts 11.5% vs fos ~1% — no CAC, not sized.</w:t>
            </w:r>
          </w:p>
        </w:tc>
        <w:tc>
          <w:tcPr>
            <w:tcW w:type="dxa" w:w="3456"/>
            <w:shd w:fill="FFFFFF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Gap ₹31.6 (₹24.9 vs ₹56.5) ÷ 0.8931 eligible ≈ ₹35.4/leg. 80/100/120% → ~₹69–103k sample. ₹105 (30% of fare) overpays. City-core ₹104.7 is geography.</w:t>
            </w:r>
          </w:p>
        </w:tc>
        <w:tc>
          <w:tcPr>
            <w:tcW w:type="dxa" w:w="3456"/>
            <w:shd w:fill="FFFFFF" w:val="clear"/>
          </w:tcPr>
          <w:p>
            <w:pPr>
              <w:spacing w:after="60" w:before="60" w:line="240" w:lineRule="auto"/>
            </w:pPr>
            <w:r>
              <w:rPr>
                <w:rFonts w:ascii="Calibri" w:hAnsi="Calibri"/>
                <w:b w:val="0"/>
                <w:color w:val="1C1917"/>
                <w:sz w:val="20"/>
              </w:rPr>
              <w:t>~15.6-day cutoff (later capture-fails → 180 is a floor). doc_events, not docs_cleared. Field gap not banked. Re-derive ₹35.4 if night returns rise. C1a FTE ₹40–60k assumed. No CAC. Trips sampled. signup_zone_id ≠ airport zones. Capture-only counted on RC/Insurance only.</w:t>
            </w:r>
          </w:p>
        </w:tc>
      </w:tr>
    </w:tbl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