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F3A5F"/>
          <w:sz w:val="32"/>
        </w:rPr>
        <w:t>Memo to the Head of Supply</w:t>
      </w:r>
    </w:p>
    <w:p>
      <w:r>
        <w:rPr>
          <w:rFonts w:ascii="Calibri" w:hAnsi="Calibri"/>
          <w:b/>
          <w:sz w:val="21"/>
        </w:rPr>
        <w:t>Onboarding leak and overnight airport</w:t>
      </w:r>
      <w:r>
        <w:rPr>
          <w:rFonts w:ascii="Calibri" w:hAnsi="Calibri"/>
          <w:sz w:val="21"/>
        </w:rPr>
        <w:t xml:space="preserve"> · 10 Sep 2026 · extract 30 Jun 2026, 23:59 IST</w:t>
      </w:r>
    </w:p>
    <w:p>
      <w:r>
        <w:rPr>
          <w:b/>
          <w:color w:val="C45C26"/>
          <w:sz w:val="26"/>
        </w:rPr>
        <w:t>Page 1 — What to do this week</w:t>
      </w:r>
    </w:p>
    <w:p>
      <w:r>
        <w:rPr>
          <w:rFonts w:ascii="Calibri" w:hAnsi="Calibri"/>
          <w:b/>
          <w:sz w:val="21"/>
        </w:rPr>
        <w:t>About 180 more approved captains a month, medium confidence — roughly 134 from an RC grace window and 50 from Insurance upload UX.</w:t>
      </w:r>
      <w:r>
        <w:rPr>
          <w:rFonts w:ascii="Calibri" w:hAnsi="Calibri"/>
          <w:sz w:val="21"/>
        </w:rPr>
        <w:t xml:space="preserve"> The two groups do not overlap. The exact 179.5–185.6 range is a sensitivity table, not a forecast to three digits. Show-up for in-person RC is not in the data, and if Legal will not let captains proceed with RC deferred, the RC piece is an upper bound.</w:t>
      </w:r>
    </w:p>
    <w:p>
      <w:r>
        <w:rPr>
          <w:rFonts w:ascii="Calibri" w:hAnsi="Calibri"/>
          <w:sz w:val="21"/>
        </w:rPr>
        <w:t xml:space="preserve">These approvals are not hollow. Among mature approved captains, </w:t>
      </w:r>
      <w:r>
        <w:rPr>
          <w:rFonts w:ascii="Calibri" w:hAnsi="Calibri"/>
          <w:b/>
          <w:sz w:val="21"/>
        </w:rPr>
        <w:t>98.7% take a first trip</w:t>
      </w:r>
      <w:r>
        <w:rPr>
          <w:rFonts w:ascii="Calibri" w:hAnsi="Calibri"/>
          <w:sz w:val="21"/>
        </w:rPr>
        <w:t xml:space="preserve"> (3,895 / 3,946). Getting them through documents is the bottleneck that matters.</w:t>
      </w:r>
    </w:p>
    <w:p>
      <w:r>
        <w:rPr>
          <w:rFonts w:ascii="Calibri" w:hAnsi="Calibri"/>
          <w:b/>
          <w:sz w:val="21"/>
        </w:rPr>
        <w:t>Stop scaling CAMP_WA_002.</w:t>
      </w:r>
      <w:r>
        <w:rPr>
          <w:rFonts w:ascii="Calibri" w:hAnsi="Calibri"/>
          <w:sz w:val="21"/>
        </w:rPr>
        <w:t xml:space="preserve"> Clickers complete at 0pp vs non-clickers (about −1.5pp; interval −3.6 to +0.6). Most recipients had already cleared RC. The 29% vs 11% “got the campaign” gap is targeting, not lift. Do not fund 5×. Run send vs no-send instead — zero cost, this week.</w:t>
      </w:r>
    </w:p>
    <w:p>
      <w:r>
        <w:rPr>
          <w:rFonts w:ascii="Calibri" w:hAnsi="Calibri"/>
          <w:b/>
          <w:sz w:val="21"/>
        </w:rPr>
        <w:t>Ranked by monthly impact.</w:t>
      </w:r>
      <w:r>
        <w:rPr>
          <w:rFonts w:ascii="Calibri" w:hAnsi="Calibri"/>
          <w:sz w:val="21"/>
        </w:rPr>
        <w:t xml:space="preserve"> Item 3 is the smallest number and the </w:t>
      </w:r>
      <w:r>
        <w:rPr>
          <w:rFonts w:ascii="Calibri" w:hAnsi="Calibri"/>
          <w:b/>
          <w:sz w:val="21"/>
        </w:rPr>
        <w:t>fastest yes</w:t>
      </w:r>
      <w:r>
        <w:rPr>
          <w:rFonts w:ascii="Calibri" w:hAnsi="Calibri"/>
          <w:sz w:val="21"/>
        </w:rPr>
        <w:t xml:space="preserve"> (no sign-off).</w:t>
      </w:r>
    </w:p>
    <w:p>
      <w:r>
        <w:rPr>
          <w:sz w:val="18"/>
        </w:rPr>
        <w:t xml:space="preserve"> #  ·  Do this  ·  Impact  ·  Cost / risk  ·  Watch </w:t>
      </w:r>
    </w:p>
    <w:p>
      <w:r>
        <w:rPr>
          <w:sz w:val="18"/>
        </w:rPr>
        <w:t xml:space="preserve"> **1**  ·  **C1a** 10-day in-person RC for 1,637 capture-only fails, plus **C1b** Insurance camera UX for 411 (must still clear before a ride)  ·  ~180 approved/month (~134 + ~50)  ·  C1a: Legal/T&amp;S on deferral, plus **~1 centre FTE (~₹40–60k/month, ~180 visits)** — assumed agent load, not a field in the file. C1b: no deferral, engineering only  ·  Approved captains split by the two cohorts </w:t>
      </w:r>
    </w:p>
    <w:p>
      <w:r>
        <w:rPr>
          <w:sz w:val="18"/>
        </w:rPr>
        <w:t xml:space="preserve"> **2**  ·  **Airport Return Assurance** at **₹35.4 per unpaid night-suburban leg** (~₹69–103k/month on the sample)  ·  Restores rest-of-day suburban economics; does not hire  ·  Sampled trips ≠ city P&amp;L. Target rest-suburban, not city-core  ·  Night suburban return-in-20m, cancels, **falling payout run-rate** over 4 weeks </w:t>
      </w:r>
    </w:p>
    <w:p>
      <w:r>
        <w:rPr>
          <w:sz w:val="18"/>
        </w:rPr>
        <w:t xml:space="preserve"> **3**  ·  Kill the 5× WhatsApp paper; RCT send vs no-send among RC-cleared app/paid captains, no other campaign  ·  Cost avoided + answer in 4–6 weeks  ·  Near zero  ·  Aadhaar pass and approved </w:t>
      </w:r>
    </w:p>
    <w:p>
      <w:r>
        <w:rPr>
          <w:rFonts w:ascii="Calibri" w:hAnsi="Calibri"/>
          <w:b/>
          <w:sz w:val="21"/>
        </w:rPr>
        <w:t>Airport in one line:</w:t>
      </w:r>
      <w:r>
        <w:rPr>
          <w:rFonts w:ascii="Calibri" w:hAnsi="Calibri"/>
          <w:sz w:val="21"/>
        </w:rPr>
        <w:t xml:space="preserve"> do not hire the catchment. Nights fail because suburban backhaul and overnight return-collapse </w:t>
      </w:r>
      <w:r>
        <w:rPr>
          <w:rFonts w:ascii="Calibri" w:hAnsi="Calibri"/>
          <w:b/>
          <w:sz w:val="21"/>
        </w:rPr>
        <w:t>compound</w:t>
      </w:r>
      <w:r>
        <w:rPr>
          <w:rFonts w:ascii="Calibri" w:hAnsi="Calibri"/>
          <w:sz w:val="21"/>
        </w:rPr>
        <w:t xml:space="preserve">, and mix does not shift after dark. New captains inherit both penalties. ARA first; headcount only if a 4-week pilot’s payout run-rate is </w:t>
      </w:r>
      <w:r>
        <w:rPr>
          <w:rFonts w:ascii="Calibri" w:hAnsi="Calibri"/>
          <w:b/>
          <w:sz w:val="21"/>
        </w:rPr>
        <w:t>not</w:t>
      </w:r>
      <w:r>
        <w:rPr>
          <w:rFonts w:ascii="Calibri" w:hAnsi="Calibri"/>
          <w:sz w:val="21"/>
        </w:rPr>
        <w:t xml:space="preserve"> falling and unfilled demand remains.</w:t>
      </w:r>
    </w:p>
    <w:p>
      <w:r>
        <w:rPr>
          <w:b/>
          <w:color w:val="C45C26"/>
          <w:sz w:val="26"/>
        </w:rPr>
        <w:t>Page 2 — Why, and what would change my mind</w:t>
      </w:r>
    </w:p>
    <w:p>
      <w:r>
        <w:rPr>
          <w:rFonts w:ascii="Calibri" w:hAnsi="Calibri"/>
          <w:b/>
          <w:sz w:val="21"/>
        </w:rPr>
        <w:t>RC vs Insurance.</w:t>
      </w:r>
      <w:r>
        <w:rPr>
          <w:rFonts w:ascii="Calibri" w:hAnsi="Calibri"/>
          <w:sz w:val="21"/>
        </w:rPr>
        <w:t xml:space="preserve"> 1,637 captains failed RC only on blur / weak OCR / illegible text. RC is vehicle identity — no passenger liability — so a 10-day in-person check is a scoped deferral. 411 failed Insurance the same way; Insurance is the liability document and </w:t>
      </w:r>
      <w:r>
        <w:rPr>
          <w:rFonts w:ascii="Calibri" w:hAnsi="Calibri"/>
          <w:b/>
          <w:sz w:val="21"/>
        </w:rPr>
        <w:t>cannot</w:t>
      </w:r>
      <w:r>
        <w:rPr>
          <w:rFonts w:ascii="Calibri" w:hAnsi="Calibri"/>
          <w:sz w:val="21"/>
        </w:rPr>
        <w:t xml:space="preserve"> defer. Most Insurance *volume* never uploaded after Fitness; C1b does not claim that pile.</w:t>
      </w:r>
    </w:p>
    <w:p>
      <w:r>
        <w:rPr>
          <w:rFonts w:ascii="Calibri" w:hAnsi="Calibri"/>
          <w:b/>
          <w:sz w:val="21"/>
        </w:rPr>
        <w:t>How ~134 and ~50 are built.</w:t>
      </w:r>
      <w:r>
        <w:rPr>
          <w:rFonts w:ascii="Calibri" w:hAnsi="Calibri"/>
          <w:sz w:val="21"/>
        </w:rPr>
        <w:t xml:space="preserve"> RC stock is ~300/month. Additional = flow × 10-day show-up × pass. Pass is grounded: 74% on a third RC attempt, 78% when field assists RC. Central cell: 60% show-up × 74% = </w:t>
      </w:r>
      <w:r>
        <w:rPr>
          <w:rFonts w:ascii="Calibri" w:hAnsi="Calibri"/>
          <w:b/>
          <w:sz w:val="21"/>
        </w:rPr>
        <w:t>~134/month</w:t>
      </w:r>
      <w:r>
        <w:rPr>
          <w:rFonts w:ascii="Calibri" w:hAnsi="Calibri"/>
          <w:sz w:val="21"/>
        </w:rPr>
        <w:t xml:space="preserve">. Insurance uses its own 67% → 74% → 76% retry pattern × 91% approved-if-cleared = </w:t>
      </w:r>
      <w:r>
        <w:rPr>
          <w:rFonts w:ascii="Calibri" w:hAnsi="Calibri"/>
          <w:b/>
          <w:sz w:val="21"/>
        </w:rPr>
        <w:t>~46–52/month</w:t>
      </w:r>
      <w:r>
        <w:rPr>
          <w:rFonts w:ascii="Calibri" w:hAnsi="Calibri"/>
          <w:sz w:val="21"/>
        </w:rPr>
        <w:t xml:space="preserve">. </w:t>
      </w:r>
      <w:r>
        <w:rPr>
          <w:rFonts w:ascii="Calibri" w:hAnsi="Calibri"/>
          <w:b/>
          <w:sz w:val="21"/>
        </w:rPr>
        <w:t>Do not add 128–256/month</w:t>
      </w:r>
      <w:r>
        <w:rPr>
          <w:rFonts w:ascii="Calibri" w:hAnsi="Calibri"/>
          <w:sz w:val="21"/>
        </w:rPr>
        <w:t xml:space="preserve"> from “make app signups convert like field”: 726 of the RC group are already in that gap, and field teams recruit a different pool.</w:t>
      </w:r>
    </w:p>
    <w:p>
      <w:r>
        <w:rPr>
          <w:rFonts w:ascii="Calibri" w:hAnsi="Calibri"/>
          <w:b/>
          <w:sz w:val="21"/>
        </w:rPr>
        <w:t>If remaining documents still bind.</w:t>
      </w:r>
      <w:r>
        <w:rPr>
          <w:rFonts w:ascii="Calibri" w:hAnsi="Calibri"/>
          <w:sz w:val="21"/>
        </w:rPr>
        <w:t xml:space="preserve"> Historical P(approved \| passed RC) is 27% (3,946 / 14,453). If Legal only defers RC *inside* the rest of the funnel, C1a shrinks toward ~36 fully-approved/month until Aadhaar→Insurance is also fixed. That is why the Legal ask is deferral-as-activation, not a photo waiver. C1b is already at Insurance; that haircut does not apply.</w:t>
      </w:r>
    </w:p>
    <w:p>
      <w:r>
        <w:rPr>
          <w:rFonts w:ascii="Calibri" w:hAnsi="Calibri"/>
          <w:b/>
          <w:sz w:val="21"/>
        </w:rPr>
        <w:t>ARA payout is derived, not a % of fare.</w:t>
      </w:r>
      <w:r>
        <w:rPr>
          <w:rFonts w:ascii="Calibri" w:hAnsi="Calibri"/>
          <w:sz w:val="21"/>
        </w:rPr>
        <w:t xml:space="preserve"> Eligible = suburban × 21:00–03:59 × completed × no return in 20 min (89.31% of those trips; 2,422.5 sample legs/month). The ₹31.6 gap (₹24.9 vs ₹56.5) averages *all* completed worst-suburban trips, including the 10.69% that already got a return. Required ₹/eligible leg = </w:t>
      </w:r>
      <w:r>
        <w:rPr>
          <w:rFonts w:ascii="Calibri" w:hAnsi="Calibri"/>
          <w:b/>
          <w:sz w:val="21"/>
        </w:rPr>
        <w:t>31.6 / 0.8931 ≈ 35.4</w:t>
      </w:r>
      <w:r>
        <w:rPr>
          <w:rFonts w:ascii="Calibri" w:hAnsi="Calibri"/>
          <w:sz w:val="21"/>
        </w:rPr>
        <w:t xml:space="preserve">. Band 80/100/120% of that: ₹28.3 / ₹35.4 / ₹42.5 → </w:t>
      </w:r>
      <w:r>
        <w:rPr>
          <w:rFonts w:ascii="Calibri" w:hAnsi="Calibri"/>
          <w:b/>
          <w:sz w:val="21"/>
        </w:rPr>
        <w:t>~₹69k–103k/month</w:t>
      </w:r>
      <w:r>
        <w:rPr>
          <w:rFonts w:ascii="Calibri" w:hAnsi="Calibri"/>
          <w:sz w:val="21"/>
        </w:rPr>
        <w:t xml:space="preserve"> sample. 30% of the ₹350 fare (₹105) would overpay. City-core (₹104.7 net) is geography, not this product.</w:t>
      </w:r>
    </w:p>
    <w:p>
      <w:r>
        <w:rPr>
          <w:b/>
          <w:sz w:val="24"/>
        </w:rPr>
        <w:t>What I assumed, and what would change my answer</w:t>
      </w:r>
    </w:p>
    <w:p>
      <w:pPr>
        <w:pStyle w:val="ListBullet"/>
      </w:pPr>
      <w:r>
        <w:t>**~15.6-day cutoff.** Newer signups are unfinished, not failed. Later capture-fails → 180 is a floor; they finish alone → slight overstatement.</w:t>
      </w:r>
    </w:p>
    <w:p>
      <w:pPr>
        <w:pStyle w:val="ListBullet"/>
      </w:pPr>
      <w:r>
        <w:t>**Document events decide which docs passed**, not the approvals file (they disagree only while unfinished).</w:t>
      </w:r>
    </w:p>
    <w:p>
      <w:pPr>
        <w:pStyle w:val="ListBullet"/>
      </w:pPr>
      <w:r>
        <w:t>**Field vs app is not banked** until a randomised assist test on ordinary app/paid signups.</w:t>
      </w:r>
    </w:p>
    <w:p>
      <w:pPr>
        <w:pStyle w:val="ListBullet"/>
      </w:pPr>
      <w:r>
        <w:t>**ARA target is rest-suburban, not city-core.** Night suburban trips would have to get as short as city-core to change that. They don’t.</w:t>
      </w:r>
    </w:p>
    <w:p>
      <w:pPr>
        <w:pStyle w:val="ListBullet"/>
      </w:pPr>
      <w:r>
        <w:t>**₹31.6 / 0.8931.** If night returns rise, re-derive; do not freeze ₹35.4.</w:t>
      </w:r>
    </w:p>
    <w:p>
      <w:pPr>
        <w:pStyle w:val="ListBullet"/>
      </w:pPr>
      <w:r>
        <w:t>**C1a ops ₹40–60k/month** assumes one FTE at a typical centre-agent load (~12–15 checks/day). A wage or roster from Ops would replace this.</w:t>
      </w:r>
    </w:p>
    <w:p>
      <w:r>
        <w:rPr>
          <w:b/>
          <w:sz w:val="24"/>
        </w:rPr>
        <w:t>Unresolved (not omitted)</w:t>
      </w:r>
    </w:p>
    <w:p>
      <w:r>
        <w:rPr>
          <w:rFonts w:ascii="Calibri" w:hAnsi="Calibri"/>
          <w:sz w:val="21"/>
        </w:rPr>
        <w:t>No CAC/spend field — cannot price field vs paid as media ROI. `airport_trips.csv` is sampled — rates hold; ₹/month is not a city budget. `signup_zone_id` does not join airport zones — cannot size captains who already live in the catchment.</w:t>
      </w:r>
    </w:p>
    <w:sectPr w:rsidR="00FC693F" w:rsidRPr="0006063C" w:rsidSect="00034616">
      <w:pgSz w:w="12240" w:h="15840"/>
      <w:pgMar w:top="1008" w:right="1224" w:bottom="1008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