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20"/>
              </w:rPr>
              <w:t>RAPIDO  ·  MEMO TO THE HEAD OF SUPPLY</w:t>
            </w:r>
          </w:p>
          <w:p>
            <w:r>
              <w:rPr>
                <w:rFonts w:ascii="Calibri" w:hAnsi="Calibri"/>
                <w:b w:val="0"/>
                <w:color w:val="1E2761"/>
                <w:sz w:val="18"/>
              </w:rPr>
              <w:t>Onboarding leak and overnight airport  ·  Ramanathan K R  ·  10 Sep 2026  ·  extract 30 Jun 2026, 23:59 IST</w:t>
            </w:r>
          </w:p>
        </w:tc>
      </w:tr>
    </w:tbl>
    <w:p>
      <w:r>
        <w:rPr>
          <w:rFonts w:ascii="Cambria" w:hAnsi="Cambria"/>
          <w:b/>
          <w:color w:val="1E2761"/>
          <w:sz w:val="32"/>
        </w:rPr>
        <w:t>~180 more approved captains a month — two photo fixes, not a hiring push</w:t>
      </w:r>
    </w:p>
    <w:p>
      <w:r>
        <w:rPr>
          <w:rFonts w:ascii="Calibri" w:hAnsi="Calibri"/>
          <w:b w:val="0"/>
          <w:color w:val="333333"/>
          <w:sz w:val="21"/>
        </w:rPr>
        <w:t>The ask. Ship Insurance camera UX this week, then a 10-day RC grace after Legal. Do not hire the airport catchment. Stop scaling CAMP_WA_002. Medium confidence on 180; the campaign call is a hard no. These approvals are not hollow: 98.7% of mature approved captains already take a first trip (3,895 / 3,946).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1626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6261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80360" cy="2028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airport_n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20282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rFonts w:ascii="Cambria" w:hAnsi="Cambria"/>
          <w:b/>
          <w:color w:val="1C7293"/>
          <w:sz w:val="26"/>
        </w:rPr>
        <w:t>What to do this week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Watch</w:t>
            </w:r>
          </w:p>
        </w:tc>
      </w:tr>
      <w:tr>
        <w:tc>
          <w:tcPr>
            <w:tcW w:type="dxa" w:w="2556"/>
            <w:shd w:fill="FFF8E1" w:val="clear"/>
          </w:tcPr>
          <w:p>
            <w:r>
              <w:rPr>
                <w:rFonts w:ascii="Calibri" w:hAnsi="Calibri"/>
                <w:b/>
                <w:color w:val="1E2761"/>
                <w:sz w:val="17"/>
              </w:rPr>
              <w:t>1</w:t>
            </w:r>
          </w:p>
        </w:tc>
        <w:tc>
          <w:tcPr>
            <w:tcW w:type="dxa" w:w="2556"/>
            <w:shd w:fill="FFF8E1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C1b Insurance camera this week (411), then C1a 10-day RC grace after Legal (1,637). Same camera on other docs is a free rider — not in the 180.</w:t>
            </w:r>
          </w:p>
        </w:tc>
        <w:tc>
          <w:tcPr>
            <w:tcW w:type="dxa" w:w="2556"/>
            <w:shd w:fill="FFF8E1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~180/mo (~50 + ~134). C1a ops ~1 FTE ₹40–60k assumed.</w:t>
            </w:r>
          </w:p>
        </w:tc>
        <w:tc>
          <w:tcPr>
            <w:tcW w:type="dxa" w:w="2556"/>
            <w:shd w:fill="FFF8E1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Approved by cohort</w:t>
            </w:r>
          </w:p>
        </w:tc>
      </w:tr>
      <w:tr>
        <w:tc>
          <w:tcPr>
            <w:tcW w:type="dxa" w:w="2556"/>
            <w:shd w:fill="FFFDF6" w:val="clear"/>
          </w:tcPr>
          <w:p>
            <w:r>
              <w:rPr>
                <w:rFonts w:ascii="Calibri" w:hAnsi="Calibri"/>
                <w:b/>
                <w:color w:val="1E2761"/>
                <w:sz w:val="17"/>
              </w:rPr>
              <w:t>2</w:t>
            </w:r>
          </w:p>
        </w:tc>
        <w:tc>
          <w:tcPr>
            <w:tcW w:type="dxa" w:w="2556"/>
            <w:shd w:fill="FFFDF6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Airport Return Assurance at ₹35.4 per unpaid night-suburban leg. Do not hire the catchment.</w:t>
            </w:r>
          </w:p>
        </w:tc>
        <w:tc>
          <w:tcPr>
            <w:tcW w:type="dxa" w:w="2556"/>
            <w:shd w:fill="FFFDF6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Sample ~₹69–103k/mo. Rest-suburban, not city-core.</w:t>
            </w:r>
          </w:p>
        </w:tc>
        <w:tc>
          <w:tcPr>
            <w:tcW w:type="dxa" w:w="2556"/>
            <w:shd w:fill="FFFDF6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Return-in-20m, cancels, falling 4-week run-rate</w:t>
            </w:r>
          </w:p>
        </w:tc>
      </w:tr>
      <w:tr>
        <w:tc>
          <w:tcPr>
            <w:tcW w:type="dxa" w:w="2556"/>
            <w:shd w:fill="FFF8E1" w:val="clear"/>
          </w:tcPr>
          <w:p>
            <w:r>
              <w:rPr>
                <w:rFonts w:ascii="Calibri" w:hAnsi="Calibri"/>
                <w:b/>
                <w:color w:val="1E2761"/>
                <w:sz w:val="17"/>
              </w:rPr>
              <w:t>3</w:t>
            </w:r>
          </w:p>
        </w:tc>
        <w:tc>
          <w:tcPr>
            <w:tcW w:type="dxa" w:w="2556"/>
            <w:shd w:fill="FFF8E1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Stop CAMP_WA_002 5×. Send/no-send RCT on RC-cleared app/paid captains only.</w:t>
            </w:r>
          </w:p>
        </w:tc>
        <w:tc>
          <w:tcPr>
            <w:tcW w:type="dxa" w:w="2556"/>
            <w:shd w:fill="FFF8E1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0 pp click lift. Cost avoided + answer in 4–6 weeks.</w:t>
            </w:r>
          </w:p>
        </w:tc>
        <w:tc>
          <w:tcPr>
            <w:tcW w:type="dxa" w:w="2556"/>
            <w:shd w:fill="FFF8E1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Aadhaar pass and approved</w:t>
            </w:r>
          </w:p>
        </w:tc>
      </w:tr>
    </w:tbl>
    <w:p>
      <w:r>
        <w:rPr>
          <w:rFonts w:ascii="Calibri" w:hAnsi="Calibri"/>
          <w:b w:val="0"/>
          <w:color w:val="333333"/>
          <w:sz w:val="21"/>
        </w:rPr>
        <w:t>Airport: ~40% unfulfilled vs ~3% elsewhere; 84% in 21:00–03:59. Mix does not shift overnight (χ² p=0.12). CAMP_WA_002 clicked vs not is −1.5pp (CI −3.6 to +0.6) → 0 pp. Do not fund 5×.</w:t>
      </w:r>
    </w:p>
    <w:p>
      <w:r>
        <w:rPr>
          <w:rFonts w:ascii="Cambria" w:hAnsi="Cambria"/>
          <w:b/>
          <w:color w:val="1C7293"/>
          <w:sz w:val="26"/>
        </w:rPr>
        <w:t>Why these two stages — leftover queue — ARA maths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17722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rc_cap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77220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80360" cy="15667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56678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15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volume_lo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15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color w:val="333333"/>
          <w:sz w:val="21"/>
        </w:rPr>
        <w:t>RC loses 5,405; only 1,637 are capture-only (C1a). Insurance loses 3,289 but ~2,530 never uploaded after Fitness — C1b is the 411 photo fails. C1a: ~300/mo × 60% show-up × 74% pass ≈ 134. C1b: 67→76% × 91% approved-if-cleared ≈ 46–52. If remaining docs bind, C1a shrinks toward ~36/month. ARA: gap ₹31.6 ÷ 0.8931 ≈ ₹35.4/leg. 30% of fare (₹105) overpays. Do not add field 128–256 (overlaps 726 C1a captains).</w:t>
      </w:r>
    </w:p>
    <w:p>
      <w:r>
        <w:rPr>
          <w:rFonts w:ascii="Calibri" w:hAnsi="Calibri"/>
          <w:b/>
          <w:color w:val="1E2761"/>
          <w:sz w:val="22"/>
        </w:rPr>
        <w:t xml:space="preserve">What I assumed, and what would change my answer. </w:t>
      </w:r>
      <w:r>
        <w:rPr>
          <w:rFonts w:ascii="Calibri" w:hAnsi="Calibri"/>
          <w:b w:val="0"/>
          <w:color w:val="333333"/>
          <w:sz w:val="20"/>
        </w:rPr>
        <w:t>~15.6-day cutoff; doc_events not approvals.docs_cleared; field gap not banked; ARA vs rest-suburban not city-core; C1a FTE ₹40–60k assumed; trips file is sampled so ₹/month is not a city P&amp;L.</w:t>
      </w:r>
    </w:p>
    <w:sectPr w:rsidR="00FC693F" w:rsidRPr="0006063C" w:rsidSect="00034616">
      <w:pgSz w:w="12240" w:h="15840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