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E8C2"/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FC400" w:val="clear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1E2761"/>
                <w:sz w:val="20"/>
              </w:rPr>
              <w:t>RAPIDO  ·  MEMO TO THE HEAD OF SUPPLY  ·  Ramanathan K R  ·  10 Sep 2026  ·  extract 30 Jun 2026, 23:59 IST</w:t>
            </w:r>
          </w:p>
        </w:tc>
      </w:tr>
    </w:tbl>
    <w:p>
      <w:pPr>
        <w:spacing w:after="80" w:before="0" w:line="240" w:lineRule="auto"/>
      </w:pPr>
    </w:p>
    <w:p>
      <w:pPr>
        <w:spacing w:after="120" w:before="0" w:line="240" w:lineRule="auto"/>
      </w:pPr>
      <w:r>
        <w:rPr>
          <w:rFonts w:ascii="Cambria" w:hAnsi="Cambria"/>
          <w:b/>
          <w:color w:val="1E2761"/>
          <w:sz w:val="32"/>
        </w:rPr>
        <w:t>~180 more approved captains a month — two photo fixes, not five programmes</w:t>
      </w:r>
    </w:p>
    <w:p>
      <w:pPr>
        <w:spacing w:after="120" w:before="0" w:line="240" w:lineRule="auto"/>
      </w:pPr>
      <w:r>
        <w:rPr>
          <w:rFonts w:ascii="Calibri" w:hAnsi="Calibri"/>
          <w:b w:val="0"/>
          <w:color w:val="3A2208"/>
          <w:sz w:val="21"/>
        </w:rPr>
        <w:t>Bank only two disjoint capture fixes: ~134/month from a 10-day in-person RC grace (C1a) and ~50 from Insurance upload UX (C1b). 98.7% of mature approved captains already take a first trip (3,895 / 3,946) — documents are the bottleneck, not first-order. Show-up for RC is unobserved; if Legal will not treat deferred RC as activation, C1a shrinks toward ~36/month. That is the only number I would put in a deck with my name on the campaign: 0 pp, not 5×.</w:t>
      </w:r>
    </w:p>
    <w:p>
      <w:pPr>
        <w:spacing w:after="40" w:before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063240" cy="17293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e_c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63240" cy="1729397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3063240" cy="21570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e_airport_nigh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63240" cy="215707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pPr>
        <w:spacing w:after="160" w:before="0" w:line="240" w:lineRule="auto"/>
        <w:jc w:val="center"/>
      </w:pPr>
      <w:r>
        <w:rPr>
          <w:rFonts w:ascii="Calibri" w:hAnsi="Calibri"/>
          <w:b w:val="0"/>
          <w:color w:val="6B4A2A"/>
          <w:sz w:val="17"/>
        </w:rPr>
        <w:t>Left: bank C1a + C1b only. Right: 84% of airport unfulfilled volume is 21:00–03:59.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F8A3D" w:val="clear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FFFFFF"/>
                <w:sz w:val="22"/>
              </w:rPr>
              <w:t>PAGE 1  ·  WHAT TO DO THIS WEEK</w:t>
            </w:r>
          </w:p>
        </w:tc>
      </w:tr>
    </w:tbl>
    <w:p>
      <w:pPr>
        <w:spacing w:after="80" w:before="0" w:line="240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576"/>
            <w:shd w:fill="E85D4C" w:val="clear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#</w:t>
            </w:r>
          </w:p>
        </w:tc>
        <w:tc>
          <w:tcPr>
            <w:tcW w:type="dxa" w:w="3672"/>
            <w:shd w:fill="E85D4C" w:val="clear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Do this</w:t>
            </w:r>
          </w:p>
        </w:tc>
        <w:tc>
          <w:tcPr>
            <w:tcW w:type="dxa" w:w="2232"/>
            <w:shd w:fill="E85D4C" w:val="clear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Impact</w:t>
            </w:r>
          </w:p>
        </w:tc>
        <w:tc>
          <w:tcPr>
            <w:tcW w:type="dxa" w:w="2448"/>
            <w:shd w:fill="E85D4C" w:val="clear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Cost / risk</w:t>
            </w:r>
          </w:p>
        </w:tc>
        <w:tc>
          <w:tcPr>
            <w:tcW w:type="dxa" w:w="2160"/>
            <w:shd w:fill="E85D4C" w:val="clear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Watch</w:t>
            </w:r>
          </w:p>
        </w:tc>
      </w:tr>
      <w:tr>
        <w:tc>
          <w:tcPr>
            <w:tcW w:type="dxa" w:w="576"/>
            <w:shd w:fill="FFE8C2" w:val="clear"/>
          </w:tcPr>
          <w:p>
            <w:pPr>
              <w:spacing w:after="60" w:before="40" w:line="240" w:lineRule="auto"/>
            </w:pPr>
            <w:r>
              <w:rPr>
                <w:rFonts w:ascii="Calibri" w:hAnsi="Calibri"/>
                <w:b/>
                <w:color w:val="1E2761"/>
                <w:sz w:val="16"/>
              </w:rPr>
              <w:t>1</w:t>
            </w:r>
          </w:p>
        </w:tc>
        <w:tc>
          <w:tcPr>
            <w:tcW w:type="dxa" w:w="3672"/>
            <w:shd w:fill="FFE8C2" w:val="clear"/>
          </w:tcPr>
          <w:p>
            <w:pPr>
              <w:spacing w:after="60" w:before="40" w:line="240" w:lineRule="auto"/>
            </w:pPr>
            <w:r>
              <w:rPr>
                <w:rFonts w:ascii="Calibri" w:hAnsi="Calibri"/>
                <w:b w:val="0"/>
                <w:color w:val="3A2208"/>
                <w:sz w:val="16"/>
              </w:rPr>
              <w:t>C1b Insurance camera this week (411). Then C1a 10-day RC grace after Legal (1,637). Same camera on other docs: free rider, not in 180.</w:t>
            </w:r>
          </w:p>
        </w:tc>
        <w:tc>
          <w:tcPr>
            <w:tcW w:type="dxa" w:w="2232"/>
            <w:shd w:fill="FFE8C2" w:val="clear"/>
          </w:tcPr>
          <w:p>
            <w:pPr>
              <w:spacing w:after="60" w:before="40" w:line="240" w:lineRule="auto"/>
            </w:pPr>
            <w:r>
              <w:rPr>
                <w:rFonts w:ascii="Calibri" w:hAnsi="Calibri"/>
                <w:b w:val="0"/>
                <w:color w:val="3A2208"/>
                <w:sz w:val="16"/>
              </w:rPr>
              <w:t>~180/mo (~50 + ~134)</w:t>
            </w:r>
          </w:p>
        </w:tc>
        <w:tc>
          <w:tcPr>
            <w:tcW w:type="dxa" w:w="2448"/>
            <w:shd w:fill="FFE8C2" w:val="clear"/>
          </w:tcPr>
          <w:p>
            <w:pPr>
              <w:spacing w:after="60" w:before="40" w:line="240" w:lineRule="auto"/>
            </w:pPr>
            <w:r>
              <w:rPr>
                <w:rFonts w:ascii="Calibri" w:hAnsi="Calibri"/>
                <w:b w:val="0"/>
                <w:color w:val="3A2208"/>
                <w:sz w:val="16"/>
              </w:rPr>
              <w:t>C1b: engineering. C1a: Legal/T&amp;S + ~1 FTE ₹40–60k (assumed).</w:t>
            </w:r>
          </w:p>
        </w:tc>
        <w:tc>
          <w:tcPr>
            <w:tcW w:type="dxa" w:w="2160"/>
            <w:shd w:fill="FFE8C2" w:val="clear"/>
          </w:tcPr>
          <w:p>
            <w:pPr>
              <w:spacing w:after="60" w:before="40" w:line="240" w:lineRule="auto"/>
            </w:pPr>
            <w:r>
              <w:rPr>
                <w:rFonts w:ascii="Calibri" w:hAnsi="Calibri"/>
                <w:b w:val="0"/>
                <w:color w:val="3A2208"/>
                <w:sz w:val="16"/>
              </w:rPr>
              <w:t>Approved by cohort</w:t>
            </w:r>
          </w:p>
        </w:tc>
      </w:tr>
      <w:tr>
        <w:tc>
          <w:tcPr>
            <w:tcW w:type="dxa" w:w="576"/>
            <w:shd w:fill="FFF6E8" w:val="clear"/>
          </w:tcPr>
          <w:p>
            <w:pPr>
              <w:spacing w:after="60" w:before="40" w:line="240" w:lineRule="auto"/>
            </w:pPr>
            <w:r>
              <w:rPr>
                <w:rFonts w:ascii="Calibri" w:hAnsi="Calibri"/>
                <w:b/>
                <w:color w:val="1E2761"/>
                <w:sz w:val="16"/>
              </w:rPr>
              <w:t>2</w:t>
            </w:r>
          </w:p>
        </w:tc>
        <w:tc>
          <w:tcPr>
            <w:tcW w:type="dxa" w:w="3672"/>
            <w:shd w:fill="FFF6E8" w:val="clear"/>
          </w:tcPr>
          <w:p>
            <w:pPr>
              <w:spacing w:after="60" w:before="40" w:line="240" w:lineRule="auto"/>
            </w:pPr>
            <w:r>
              <w:rPr>
                <w:rFonts w:ascii="Calibri" w:hAnsi="Calibri"/>
                <w:b w:val="0"/>
                <w:color w:val="3A2208"/>
                <w:sz w:val="16"/>
              </w:rPr>
              <w:t>Airport Return Assurance at ₹35.4 / unpaid night-suburban leg. Do not hire the catchment.</w:t>
            </w:r>
          </w:p>
        </w:tc>
        <w:tc>
          <w:tcPr>
            <w:tcW w:type="dxa" w:w="2232"/>
            <w:shd w:fill="FFF6E8" w:val="clear"/>
          </w:tcPr>
          <w:p>
            <w:pPr>
              <w:spacing w:after="60" w:before="40" w:line="240" w:lineRule="auto"/>
            </w:pPr>
            <w:r>
              <w:rPr>
                <w:rFonts w:ascii="Calibri" w:hAnsi="Calibri"/>
                <w:b w:val="0"/>
                <w:color w:val="3A2208"/>
                <w:sz w:val="16"/>
              </w:rPr>
              <w:t>Sample ~₹69–103k/mo. Restores rest-suburban net.</w:t>
            </w:r>
          </w:p>
        </w:tc>
        <w:tc>
          <w:tcPr>
            <w:tcW w:type="dxa" w:w="2448"/>
            <w:shd w:fill="FFF6E8" w:val="clear"/>
          </w:tcPr>
          <w:p>
            <w:pPr>
              <w:spacing w:after="60" w:before="40" w:line="240" w:lineRule="auto"/>
            </w:pPr>
            <w:r>
              <w:rPr>
                <w:rFonts w:ascii="Calibri" w:hAnsi="Calibri"/>
                <w:b w:val="0"/>
                <w:color w:val="3A2208"/>
                <w:sz w:val="16"/>
              </w:rPr>
              <w:t>Sampled trips ≠ city P&amp;L. Not city-core.</w:t>
            </w:r>
          </w:p>
        </w:tc>
        <w:tc>
          <w:tcPr>
            <w:tcW w:type="dxa" w:w="2160"/>
            <w:shd w:fill="FFF6E8" w:val="clear"/>
          </w:tcPr>
          <w:p>
            <w:pPr>
              <w:spacing w:after="60" w:before="40" w:line="240" w:lineRule="auto"/>
            </w:pPr>
            <w:r>
              <w:rPr>
                <w:rFonts w:ascii="Calibri" w:hAnsi="Calibri"/>
                <w:b w:val="0"/>
                <w:color w:val="3A2208"/>
                <w:sz w:val="16"/>
              </w:rPr>
              <w:t>Return-in-20m, cancels, falling 4-wk run-rate</w:t>
            </w:r>
          </w:p>
        </w:tc>
      </w:tr>
      <w:tr>
        <w:tc>
          <w:tcPr>
            <w:tcW w:type="dxa" w:w="576"/>
            <w:shd w:fill="FFE8C2" w:val="clear"/>
          </w:tcPr>
          <w:p>
            <w:pPr>
              <w:spacing w:after="60" w:before="40" w:line="240" w:lineRule="auto"/>
            </w:pPr>
            <w:r>
              <w:rPr>
                <w:rFonts w:ascii="Calibri" w:hAnsi="Calibri"/>
                <w:b/>
                <w:color w:val="1E2761"/>
                <w:sz w:val="16"/>
              </w:rPr>
              <w:t>3</w:t>
            </w:r>
          </w:p>
        </w:tc>
        <w:tc>
          <w:tcPr>
            <w:tcW w:type="dxa" w:w="3672"/>
            <w:shd w:fill="FFE8C2" w:val="clear"/>
          </w:tcPr>
          <w:p>
            <w:pPr>
              <w:spacing w:after="60" w:before="40" w:line="240" w:lineRule="auto"/>
            </w:pPr>
            <w:r>
              <w:rPr>
                <w:rFonts w:ascii="Calibri" w:hAnsi="Calibri"/>
                <w:b w:val="0"/>
                <w:color w:val="3A2208"/>
                <w:sz w:val="16"/>
              </w:rPr>
              <w:t>Kill CAMP_WA_002 5×. Send/no-send RCT on RC-cleared app/paid captains, no other campaign.</w:t>
            </w:r>
          </w:p>
        </w:tc>
        <w:tc>
          <w:tcPr>
            <w:tcW w:type="dxa" w:w="2232"/>
            <w:shd w:fill="FFE8C2" w:val="clear"/>
          </w:tcPr>
          <w:p>
            <w:pPr>
              <w:spacing w:after="60" w:before="40" w:line="240" w:lineRule="auto"/>
            </w:pPr>
            <w:r>
              <w:rPr>
                <w:rFonts w:ascii="Calibri" w:hAnsi="Calibri"/>
                <w:b w:val="0"/>
                <w:color w:val="3A2208"/>
                <w:sz w:val="16"/>
              </w:rPr>
              <w:t>0 pp lift. Cost avoided + 4–6 week answer.</w:t>
            </w:r>
          </w:p>
        </w:tc>
        <w:tc>
          <w:tcPr>
            <w:tcW w:type="dxa" w:w="2448"/>
            <w:shd w:fill="FFE8C2" w:val="clear"/>
          </w:tcPr>
          <w:p>
            <w:pPr>
              <w:spacing w:after="60" w:before="40" w:line="240" w:lineRule="auto"/>
            </w:pPr>
            <w:r>
              <w:rPr>
                <w:rFonts w:ascii="Calibri" w:hAnsi="Calibri"/>
                <w:b w:val="0"/>
                <w:color w:val="3A2208"/>
                <w:sz w:val="16"/>
              </w:rPr>
              <w:t>Near zero</w:t>
            </w:r>
          </w:p>
        </w:tc>
        <w:tc>
          <w:tcPr>
            <w:tcW w:type="dxa" w:w="2160"/>
            <w:shd w:fill="FFE8C2" w:val="clear"/>
          </w:tcPr>
          <w:p>
            <w:pPr>
              <w:spacing w:after="60" w:before="40" w:line="240" w:lineRule="auto"/>
            </w:pPr>
            <w:r>
              <w:rPr>
                <w:rFonts w:ascii="Calibri" w:hAnsi="Calibri"/>
                <w:b w:val="0"/>
                <w:color w:val="3A2208"/>
                <w:sz w:val="16"/>
              </w:rPr>
              <w:t>Aadhaar pass and approved</w:t>
            </w:r>
          </w:p>
        </w:tc>
      </w:tr>
    </w:tbl>
    <w:p>
      <w:pPr>
        <w:spacing w:after="120" w:before="0" w:line="240" w:lineRule="auto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12"/>
            <w:shd w:fill="FF8A3D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Why rec 2 is “do not hire”</w:t>
              <w:br/>
            </w:r>
            <w:r>
              <w:rPr>
                <w:rFonts w:ascii="Calibri" w:hAnsi="Calibri"/>
                <w:b w:val="0"/>
                <w:color w:val="FFFFFF"/>
                <w:sz w:val="18"/>
              </w:rPr>
              <w:t>Terminals ~40% unfulfilled vs ~3% elsewhere. After the trip, suburban backhaul and overnight return-collapse compound. Mix does not shift after dark (χ² p=0.12). New hires inherit both penalties. Price the deadhead for 4 weeks; hire only if the payout run-rate is not falling.</w:t>
            </w:r>
          </w:p>
        </w:tc>
        <w:tc>
          <w:tcPr>
            <w:tcW w:type="dxa" w:w="5112"/>
            <w:shd w:fill="E85D4C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Why rec 3 is a hard no on 5×</w:t>
              <w:br/>
            </w:r>
            <w:r>
              <w:rPr>
                <w:rFonts w:ascii="Calibri" w:hAnsi="Calibri"/>
                <w:b w:val="0"/>
                <w:color w:val="FFFFFF"/>
                <w:sz w:val="18"/>
              </w:rPr>
              <w:t>Clicked vs not (delivered): −1.5pp, CI −3.6 to +0.6 → 0 pp. The 29% vs 11% “got CAMP” gap is targeting after RC, not lift. That same null is why never-upload is not another WhatsApp. Redirect the paper into a send/no-send RCT this week.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F8A3D" w:val="clear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FFFFFF"/>
                <w:sz w:val="22"/>
              </w:rPr>
              <w:t>PAGE 2  ·  WHY THESE TWO STAGES, WHAT WE LEFT, WHAT WOULD CHANGE MY MIND</w:t>
            </w:r>
          </w:p>
        </w:tc>
      </w:tr>
    </w:tbl>
    <w:p>
      <w:pPr>
        <w:spacing w:after="80" w:before="0" w:line="240" w:lineRule="auto"/>
      </w:pPr>
    </w:p>
    <w:p>
      <w:pPr>
        <w:spacing w:after="120" w:before="0" w:line="240" w:lineRule="auto"/>
      </w:pPr>
      <w:r>
        <w:rPr>
          <w:rFonts w:ascii="Calibri" w:hAnsi="Calibri"/>
          <w:b w:val="0"/>
          <w:color w:val="3A2208"/>
          <w:sz w:val="21"/>
        </w:rPr>
        <w:t>The deck shows the leaks. This page is the bound: what is C1a vs leftover, how ₹35.4 is derived, and which piles I refuse to add to 180. RC loses 5,405 people — largest stage — but only 1,637 failed solely on blur / OCR / illegible. Insurance loses 3,289; ~2,530 never uploaded after Fitness. C1b is the 411 photo fails and cannot defer (liability). DL (1,166) is 100% uploaded-fail and cannot be deferred. Aadhaar / Permit / Fitness (1,540 / 2,616 / 2,653) are mostly never-upload or eligibility. Rejected 409 already cleared docs — a gate, not a UX leak.</w:t>
      </w:r>
    </w:p>
    <w:p>
      <w:pPr>
        <w:spacing w:after="40" w:before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971800" cy="18284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e_rc_cap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828464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971800" cy="161652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e_c1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61652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pPr>
        <w:spacing w:after="120" w:before="0" w:line="240" w:lineRule="auto"/>
        <w:jc w:val="center"/>
      </w:pPr>
      <w:r>
        <w:rPr>
          <w:rFonts w:ascii="Calibri" w:hAnsi="Calibri"/>
          <w:b w:val="0"/>
          <w:color w:val="6B4A2A"/>
          <w:sz w:val="17"/>
        </w:rPr>
        <w:t>Left: 1,637 of 5,405 RC losses are C1a. Right: 411 of 3,289 Insurance leftovers are C1b.</w:t>
      </w:r>
    </w:p>
    <w:p>
      <w:pPr>
        <w:spacing w:after="80" w:before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299983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r_volume_lo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983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fill="FFC400" w:val="clear"/>
          </w:tcPr>
          <w:p>
            <w:r>
              <w:rPr>
                <w:rFonts w:ascii="Calibri" w:hAnsi="Calibri"/>
                <w:b/>
                <w:color w:val="1E2761"/>
                <w:sz w:val="18"/>
              </w:rPr>
              <w:t>Fix</w:t>
            </w:r>
          </w:p>
        </w:tc>
        <w:tc>
          <w:tcPr>
            <w:tcW w:type="dxa" w:w="2736"/>
            <w:shd w:fill="FFC400" w:val="clear"/>
          </w:tcPr>
          <w:p>
            <w:r>
              <w:rPr>
                <w:rFonts w:ascii="Calibri" w:hAnsi="Calibri"/>
                <w:b/>
                <w:color w:val="1E2761"/>
                <w:sz w:val="18"/>
              </w:rPr>
              <w:t>Flow</w:t>
            </w:r>
          </w:p>
        </w:tc>
        <w:tc>
          <w:tcPr>
            <w:tcW w:type="dxa" w:w="3312"/>
            <w:shd w:fill="FFC400" w:val="clear"/>
          </w:tcPr>
          <w:p>
            <w:r>
              <w:rPr>
                <w:rFonts w:ascii="Calibri" w:hAnsi="Calibri"/>
                <w:b/>
                <w:color w:val="1E2761"/>
                <w:sz w:val="18"/>
              </w:rPr>
              <w:t>Maths</w:t>
            </w:r>
          </w:p>
        </w:tc>
        <w:tc>
          <w:tcPr>
            <w:tcW w:type="dxa" w:w="1584"/>
            <w:shd w:fill="FFC400" w:val="clear"/>
          </w:tcPr>
          <w:p>
            <w:r>
              <w:rPr>
                <w:rFonts w:ascii="Calibri" w:hAnsi="Calibri"/>
                <w:b/>
                <w:color w:val="1E2761"/>
                <w:sz w:val="18"/>
              </w:rPr>
              <w:t>Bank</w:t>
            </w:r>
          </w:p>
        </w:tc>
      </w:tr>
      <w:tr>
        <w:tc>
          <w:tcPr>
            <w:tcW w:type="dxa" w:w="2592"/>
            <w:shd w:fill="FFF6E8" w:val="clear"/>
          </w:tcPr>
          <w:p>
            <w:r>
              <w:rPr>
                <w:rFonts w:ascii="Calibri" w:hAnsi="Calibri"/>
                <w:b w:val="0"/>
                <w:color w:val="1E2761"/>
                <w:sz w:val="18"/>
              </w:rPr>
              <w:t>C1a RC grace</w:t>
            </w:r>
          </w:p>
        </w:tc>
        <w:tc>
          <w:tcPr>
            <w:tcW w:type="dxa" w:w="2736"/>
            <w:shd w:fill="FFF6E8" w:val="clear"/>
          </w:tcPr>
          <w:p>
            <w:r>
              <w:rPr>
                <w:rFonts w:ascii="Calibri" w:hAnsi="Calibri"/>
                <w:b w:val="0"/>
                <w:color w:val="1E2761"/>
                <w:sz w:val="18"/>
              </w:rPr>
              <w:t>~300/mo capture-only</w:t>
            </w:r>
          </w:p>
        </w:tc>
        <w:tc>
          <w:tcPr>
            <w:tcW w:type="dxa" w:w="3312"/>
            <w:shd w:fill="FFF6E8" w:val="clear"/>
          </w:tcPr>
          <w:p>
            <w:r>
              <w:rPr>
                <w:rFonts w:ascii="Calibri" w:hAnsi="Calibri"/>
                <w:b w:val="0"/>
                <w:color w:val="1E2761"/>
                <w:sz w:val="18"/>
              </w:rPr>
              <w:t>× 60% show-up × 74% pass</w:t>
            </w:r>
          </w:p>
        </w:tc>
        <w:tc>
          <w:tcPr>
            <w:tcW w:type="dxa" w:w="1584"/>
            <w:shd w:fill="FFF6E8" w:val="clear"/>
          </w:tcPr>
          <w:p>
            <w:r>
              <w:rPr>
                <w:rFonts w:ascii="Calibri" w:hAnsi="Calibri"/>
                <w:b/>
                <w:color w:val="1E2761"/>
                <w:sz w:val="18"/>
              </w:rPr>
              <w:t>~134/mo</w:t>
            </w:r>
          </w:p>
        </w:tc>
      </w:tr>
      <w:tr>
        <w:tc>
          <w:tcPr>
            <w:tcW w:type="dxa" w:w="2592"/>
            <w:shd w:fill="FFF6E8" w:val="clear"/>
          </w:tcPr>
          <w:p>
            <w:r>
              <w:rPr>
                <w:rFonts w:ascii="Calibri" w:hAnsi="Calibri"/>
                <w:b w:val="0"/>
                <w:color w:val="1E2761"/>
                <w:sz w:val="18"/>
              </w:rPr>
              <w:t>C1b Insurance UX</w:t>
            </w:r>
          </w:p>
        </w:tc>
        <w:tc>
          <w:tcPr>
            <w:tcW w:type="dxa" w:w="2736"/>
            <w:shd w:fill="FFF6E8" w:val="clear"/>
          </w:tcPr>
          <w:p>
            <w:r>
              <w:rPr>
                <w:rFonts w:ascii="Calibri" w:hAnsi="Calibri"/>
                <w:b w:val="0"/>
                <w:color w:val="1E2761"/>
                <w:sz w:val="18"/>
              </w:rPr>
              <w:t>411 capture-only</w:t>
            </w:r>
          </w:p>
        </w:tc>
        <w:tc>
          <w:tcPr>
            <w:tcW w:type="dxa" w:w="3312"/>
            <w:shd w:fill="FFF6E8" w:val="clear"/>
          </w:tcPr>
          <w:p>
            <w:r>
              <w:rPr>
                <w:rFonts w:ascii="Calibri" w:hAnsi="Calibri"/>
                <w:b w:val="0"/>
                <w:color w:val="1E2761"/>
                <w:sz w:val="18"/>
              </w:rPr>
              <w:t>67→76% × 91% approved-if-cleared</w:t>
            </w:r>
          </w:p>
        </w:tc>
        <w:tc>
          <w:tcPr>
            <w:tcW w:type="dxa" w:w="1584"/>
            <w:shd w:fill="FFF6E8" w:val="clear"/>
          </w:tcPr>
          <w:p>
            <w:r>
              <w:rPr>
                <w:rFonts w:ascii="Calibri" w:hAnsi="Calibri"/>
                <w:b/>
                <w:color w:val="1E2761"/>
                <w:sz w:val="18"/>
              </w:rPr>
              <w:t>~46–52/mo</w:t>
            </w:r>
          </w:p>
        </w:tc>
      </w:tr>
    </w:tbl>
    <w:p>
      <w:pPr>
        <w:spacing w:after="120" w:before="0" w:line="240" w:lineRule="auto"/>
      </w:pPr>
      <w:r>
        <w:rPr>
          <w:rFonts w:ascii="Calibri" w:hAnsi="Calibri"/>
          <w:b w:val="0"/>
          <w:color w:val="3A2208"/>
          <w:sz w:val="20"/>
        </w:rPr>
        <w:t>40–80% show-up → ~89–188. If remaining docs still bind after RC, historical P(approved | passed RC) is 27% and C1a → ~36/month — that is the Legal question (deferral-as-activation).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E85D4C" w:val="clear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FFFFFF"/>
                <w:sz w:val="22"/>
              </w:rPr>
              <w:t>NOT BANKED  ·  leftover queue (possible, not in the 180)</w:t>
            </w:r>
          </w:p>
        </w:tc>
      </w:tr>
    </w:tbl>
    <w:p>
      <w:pPr>
        <w:spacing w:after="80" w:before="0" w:line="240" w:lineRule="auto"/>
      </w:pPr>
    </w:p>
    <w:p>
      <w:pPr>
        <w:spacing w:after="120" w:before="0" w:line="240" w:lineRule="auto"/>
      </w:pPr>
      <w:r>
        <w:rPr>
          <w:rFonts w:ascii="Calibri" w:hAnsi="Calibri"/>
          <w:b w:val="0"/>
          <w:color w:val="3A2208"/>
          <w:sz w:val="21"/>
        </w:rPr>
        <w:t>(1) Reuse C1b’s camera on DL / Aadhaar / Permit / Fitness after C1b ships — cheap, capture-only n not sized except RC/Insurance. (2) Never-upload RC ~2,388 and Insurance ~2,530 looks like a nudge; CAMP was 0 pp and only 13 post-Fitness nudges exist in 7,644 people. Fos abandon after Fitness 26% vs paid 43% — assisted-onboarding RCT, unproven ceiling 128–256/month, overlaps 726 C1a captains. (3) Paid never-starts docs at 11.5% vs fos ~1% — channel quality; no CAC, not sized.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F8A3D" w:val="clear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FFFFFF"/>
                <w:sz w:val="22"/>
              </w:rPr>
              <w:t>ARA  ·  derived payout, not 30% of fare</w:t>
            </w:r>
          </w:p>
        </w:tc>
      </w:tr>
    </w:tbl>
    <w:p>
      <w:pPr>
        <w:spacing w:after="80" w:before="0" w:line="240" w:lineRule="auto"/>
      </w:pPr>
    </w:p>
    <w:p>
      <w:pPr>
        <w:spacing w:after="120" w:before="0" w:line="240" w:lineRule="auto"/>
      </w:pPr>
      <w:r>
        <w:rPr>
          <w:rFonts w:ascii="Calibri" w:hAnsi="Calibri"/>
          <w:b w:val="0"/>
          <w:color w:val="3A2208"/>
          <w:sz w:val="21"/>
        </w:rPr>
        <w:t>Night-suburban net ₹24.9 vs rest-suburban ₹56.5 → gap ₹31.6 across all completed worst-suburban trips. ARA pays only the 89.31% with no return in 20 min → 31.6 / 0.8931 ≈ ₹35.4 per eligible leg. 80 / 100 / 120% → sample ~₹69k / ₹86k / ₹103k a month. 30% of a ₹350 fare (₹105) overpays. City-core ₹104.7 is geography, not the matching comparison.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FC400" w:val="clear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1E2761"/>
                <w:sz w:val="22"/>
              </w:rPr>
              <w:t>WHAT I ASSUMED, AND WHAT WOULD CHANGE MY ANSWER</w:t>
            </w:r>
          </w:p>
        </w:tc>
      </w:tr>
    </w:tbl>
    <w:p>
      <w:pPr>
        <w:spacing w:after="80" w:before="0" w:line="240" w:lineRule="auto"/>
      </w:pPr>
    </w:p>
    <w:p>
      <w:pPr>
        <w:spacing w:after="40" w:before="0" w:line="240" w:lineRule="auto"/>
      </w:pPr>
      <w:r>
        <w:rPr>
          <w:rFonts w:ascii="Calibri" w:hAnsi="Calibri"/>
          <w:b w:val="0"/>
          <w:color w:val="3A2208"/>
          <w:sz w:val="20"/>
        </w:rPr>
        <w:t>• ~15.6-day cutoff (max in_progress age). Later capture-fails still in flight → 180 is a floor; they finish alone → slight overstatement.  • doc_events.verification_pass, not approvals.docs_cleared (they disagree only while unfinished).  • Field vs app not banked until a randomised assist test on ordinary app/paid signups.  • ARA matches rest-suburban, not city-core. If night returns rise, re-derive ₹35.4; do not freeze it.  • C1a ops ₹40–60k assumes one FTE at 12–15 checks/day.  Unresolved, not omitted: no CAC so field vs paid cannot be priced. airport_trips.csv is sampled — rates hold; ₹/month is not a city budget. signup_zone_id does not join airport zones. Capture-only was counted only on RC and Insurance.</w:t>
      </w:r>
    </w:p>
    <w:sectPr w:rsidR="00FC693F" w:rsidRPr="0006063C" w:rsidSect="00034616">
      <w:pgSz w:w="12240" w:h="15840"/>
      <w:pgMar w:top="720" w:right="936" w:bottom="72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