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Memo to the Head of Supply</w:t>
      </w:r>
    </w:p>
    <w:p>
      <w:r>
        <w:rPr>
          <w:rFonts w:ascii="Calibri" w:hAnsi="Calibri"/>
          <w:b/>
          <w:sz w:val="21"/>
        </w:rPr>
        <w:t>Onboarding leak and overnight airport</w:t>
      </w:r>
      <w:r>
        <w:rPr>
          <w:rFonts w:ascii="Calibri" w:hAnsi="Calibri"/>
          <w:sz w:val="21"/>
        </w:rPr>
        <w:t xml:space="preserve"> · 10 Sep 2026 · extract 30 Jun 2026, 23:59 IST</w:t>
      </w:r>
    </w:p>
    <w:p>
      <w:r>
        <w:rPr>
          <w:b/>
          <w:color w:val="C45C26"/>
          <w:sz w:val="26"/>
        </w:rPr>
        <w:t>Page 1 — What to do this week</w:t>
      </w:r>
    </w:p>
    <w:p>
      <w:r>
        <w:rPr>
          <w:rFonts w:ascii="Calibri" w:hAnsi="Calibri"/>
          <w:b/>
          <w:sz w:val="21"/>
        </w:rPr>
        <w:t>About 180 more approved captains a month, medium confidence — roughly 134 from an RC grace window and 50 from Insurance upload UX.</w:t>
      </w:r>
      <w:r>
        <w:rPr>
          <w:rFonts w:ascii="Calibri" w:hAnsi="Calibri"/>
          <w:sz w:val="21"/>
        </w:rPr>
        <w:t xml:space="preserve"> The two groups do not overlap. The 179.5–185.6 range is a sensitivity table, not a three-decimal forecast. Show-up for in-person RC is unobserved. If Legal will not let captains proceed with RC deferred, the RC piece is an upper bound.</w:t>
      </w:r>
    </w:p>
    <w:p>
      <w:r>
        <w:rPr>
          <w:rFonts w:ascii="Calibri" w:hAnsi="Calibri"/>
          <w:sz w:val="21"/>
        </w:rPr>
        <w:t xml:space="preserve">These approvals are not hollow. Among mature approved captains, </w:t>
      </w:r>
      <w:r>
        <w:rPr>
          <w:rFonts w:ascii="Calibri" w:hAnsi="Calibri"/>
          <w:b/>
          <w:sz w:val="21"/>
        </w:rPr>
        <w:t>98.7% take a first trip</w:t>
      </w:r>
      <w:r>
        <w:rPr>
          <w:rFonts w:ascii="Calibri" w:hAnsi="Calibri"/>
          <w:sz w:val="21"/>
        </w:rPr>
        <w:t xml:space="preserve"> (3,895 / 3,946). Documents are the bottleneck, not first-order.</w:t>
      </w:r>
    </w:p>
    <w:p>
      <w:r>
        <w:rPr>
          <w:rFonts w:ascii="Calibri" w:hAnsi="Calibri"/>
          <w:b/>
          <w:sz w:val="21"/>
        </w:rPr>
        <w:t>Stop scaling CAMP_WA_002.</w:t>
      </w:r>
      <w:r>
        <w:rPr>
          <w:rFonts w:ascii="Calibri" w:hAnsi="Calibri"/>
          <w:sz w:val="21"/>
        </w:rPr>
        <w:t xml:space="preserve"> Clickers complete at 0pp vs non-clickers (about −1.5pp; interval −3.6 to +0.6). Most recipients had already cleared RC. The 29% vs 11% “got the campaign” gap is targeting, not lift. Do not fund 5×. That same null is why we do </w:t>
      </w:r>
      <w:r>
        <w:rPr>
          <w:rFonts w:ascii="Calibri" w:hAnsi="Calibri"/>
          <w:b/>
          <w:sz w:val="21"/>
        </w:rPr>
        <w:t>not</w:t>
      </w:r>
      <w:r>
        <w:rPr>
          <w:rFonts w:ascii="Calibri" w:hAnsi="Calibri"/>
          <w:sz w:val="21"/>
        </w:rPr>
        <w:t xml:space="preserve"> harvest the large “never uploaded the next doc” pile with another WhatsApp.</w:t>
      </w:r>
    </w:p>
    <w:p>
      <w:r>
        <w:rPr>
          <w:rFonts w:ascii="Calibri" w:hAnsi="Calibri"/>
          <w:b/>
          <w:sz w:val="21"/>
        </w:rPr>
        <w:t>Ranked by monthly impact.</w:t>
      </w:r>
      <w:r>
        <w:rPr>
          <w:rFonts w:ascii="Calibri" w:hAnsi="Calibri"/>
          <w:sz w:val="21"/>
        </w:rPr>
        <w:t xml:space="preserve"> Item 3 is the smallest number and the </w:t>
      </w:r>
      <w:r>
        <w:rPr>
          <w:rFonts w:ascii="Calibri" w:hAnsi="Calibri"/>
          <w:b/>
          <w:sz w:val="21"/>
        </w:rPr>
        <w:t>fastest yes</w:t>
      </w:r>
      <w:r>
        <w:rPr>
          <w:rFonts w:ascii="Calibri" w:hAnsi="Calibri"/>
          <w:sz w:val="21"/>
        </w:rPr>
        <w:t xml:space="preserve"> (no sign-off). Airport is rec 2 on purpose: the answer is </w:t>
      </w:r>
      <w:r>
        <w:rPr>
          <w:rFonts w:ascii="Calibri" w:hAnsi="Calibri"/>
          <w:b/>
          <w:sz w:val="21"/>
        </w:rPr>
        <w:t>do not hire</w:t>
      </w:r>
      <w:r>
        <w:rPr>
          <w:rFonts w:ascii="Calibri" w:hAnsi="Calibri"/>
          <w:sz w:val="21"/>
        </w:rPr>
        <w:t>, not a second onboarding slide.</w:t>
      </w:r>
    </w:p>
    <w:p>
      <w:r>
        <w:rPr>
          <w:sz w:val="18"/>
        </w:rPr>
        <w:t xml:space="preserve"> #  ·  Do this  ·  Impact  ·  Cost / risk  ·  Watch </w:t>
      </w:r>
    </w:p>
    <w:p>
      <w:r>
        <w:rPr>
          <w:sz w:val="18"/>
        </w:rPr>
        <w:t xml:space="preserve"> **1**  ·  **C1b** Insurance camera UX (411; must clear before a ride) **this week**, then **C1a** 10-day in-person RC (1,637) once Legal signs  ·  ~180 approved/month (~50 + ~134). Same camera on DL/Aadhaar/Permit/Fitness is a **free rider after C1b — not added to 180**  ·  C1a: Legal/T&amp;S + **~1 FTE (~₹40–60k/month, ~180 visits)**, assumed. C1b: engineering only  ·  Approved split by cohort </w:t>
      </w:r>
    </w:p>
    <w:p>
      <w:r>
        <w:rPr>
          <w:sz w:val="18"/>
        </w:rPr>
        <w:t xml:space="preserve"> **2**  ·  **Airport Return Assurance** at **₹35.4 per unpaid night-suburban leg** (~₹69–103k/month sample)  ·  Restores rest-of-day suburban economics. **No catchment hiring**  ·  Sampled trips ≠ city P&amp;L. Target rest-suburban, not city-core  ·  Night suburban return-in-20m, cancels, **falling payout run-rate** over 4 weeks </w:t>
      </w:r>
    </w:p>
    <w:p>
      <w:r>
        <w:rPr>
          <w:sz w:val="18"/>
        </w:rPr>
        <w:t xml:space="preserve"> **3**  ·  Kill the 5× WhatsApp; send vs no-send RCT among RC-cleared app/paid captains, no other campaign  ·  Cost avoided + answer in 4–6 weeks  ·  Near zero  ·  Aadhaar pass and approved </w:t>
      </w:r>
    </w:p>
    <w:p>
      <w:r>
        <w:rPr>
          <w:rFonts w:ascii="Calibri" w:hAnsi="Calibri"/>
          <w:b/>
          <w:sz w:val="21"/>
        </w:rPr>
        <w:t>Airport, said plainly:</w:t>
      </w:r>
      <w:r>
        <w:rPr>
          <w:rFonts w:ascii="Calibri" w:hAnsi="Calibri"/>
          <w:sz w:val="21"/>
        </w:rPr>
        <w:t xml:space="preserve"> unfilled demand is ~40% at terminals vs ~3% elsewhere; 84% of that pain is 21:00–03:59. After the trip, suburban backhaul and overnight return-collapse </w:t>
      </w:r>
      <w:r>
        <w:rPr>
          <w:rFonts w:ascii="Calibri" w:hAnsi="Calibri"/>
          <w:b/>
          <w:sz w:val="21"/>
        </w:rPr>
        <w:t>compound</w:t>
      </w:r>
      <w:r>
        <w:rPr>
          <w:rFonts w:ascii="Calibri" w:hAnsi="Calibri"/>
          <w:sz w:val="21"/>
        </w:rPr>
        <w:t xml:space="preserve">, and mix does </w:t>
      </w:r>
      <w:r>
        <w:rPr>
          <w:rFonts w:ascii="Calibri" w:hAnsi="Calibri"/>
          <w:b/>
          <w:sz w:val="21"/>
        </w:rPr>
        <w:t>not</w:t>
      </w:r>
      <w:r>
        <w:rPr>
          <w:rFonts w:ascii="Calibri" w:hAnsi="Calibri"/>
          <w:sz w:val="21"/>
        </w:rPr>
        <w:t xml:space="preserve"> shift after dark. New hires inherit both penalties. ARA first; headcount only if a 4-week run-rate is </w:t>
      </w:r>
      <w:r>
        <w:rPr>
          <w:rFonts w:ascii="Calibri" w:hAnsi="Calibri"/>
          <w:b/>
          <w:sz w:val="21"/>
        </w:rPr>
        <w:t>not</w:t>
      </w:r>
      <w:r>
        <w:rPr>
          <w:rFonts w:ascii="Calibri" w:hAnsi="Calibri"/>
          <w:sz w:val="21"/>
        </w:rPr>
        <w:t xml:space="preserve"> falling and nights stay unfilled.</w:t>
      </w:r>
    </w:p>
    <w:p>
      <w:r>
        <w:rPr>
          <w:b/>
          <w:color w:val="C45C26"/>
          <w:sz w:val="26"/>
        </w:rPr>
        <w:t>Page 2 — Why these two stages, what we left, what would change my mind</w:t>
      </w:r>
    </w:p>
    <w:p>
      <w:r>
        <w:rPr>
          <w:rFonts w:ascii="Calibri" w:hAnsi="Calibri"/>
          <w:b/>
          <w:sz w:val="21"/>
        </w:rPr>
        <w:t>Why RC and Insurance, not “fix the whole funnel.”</w:t>
      </w:r>
      <w:r>
        <w:rPr>
          <w:rFonts w:ascii="Calibri" w:hAnsi="Calibri"/>
          <w:sz w:val="21"/>
        </w:rPr>
        <w:t xml:space="preserve"> RC loses 5,405 people — the largest stage. </w:t>
      </w:r>
      <w:r>
        <w:rPr>
          <w:rFonts w:ascii="Calibri" w:hAnsi="Calibri"/>
          <w:b/>
          <w:sz w:val="21"/>
        </w:rPr>
        <w:t>1,637</w:t>
      </w:r>
      <w:r>
        <w:rPr>
          <w:rFonts w:ascii="Calibri" w:hAnsi="Calibri"/>
          <w:sz w:val="21"/>
        </w:rPr>
        <w:t xml:space="preserve"> failed *only* on blur / OCR / illegible; retry pass rates go </w:t>
      </w:r>
      <w:r>
        <w:rPr>
          <w:rFonts w:ascii="Calibri" w:hAnsi="Calibri"/>
          <w:b/>
          <w:sz w:val="21"/>
        </w:rPr>
        <w:t>up</w:t>
      </w:r>
      <w:r>
        <w:rPr>
          <w:rFonts w:ascii="Calibri" w:hAnsi="Calibri"/>
          <w:sz w:val="21"/>
        </w:rPr>
        <w:t xml:space="preserve"> (65% → 74%). RC is vehicle identity, not passenger liability, so a 10-day in-person grace is scoped. Insurance loses 3,289, but </w:t>
      </w:r>
      <w:r>
        <w:rPr>
          <w:rFonts w:ascii="Calibri" w:hAnsi="Calibri"/>
          <w:b/>
          <w:sz w:val="21"/>
        </w:rPr>
        <w:t>~2,530 never uploaded</w:t>
      </w:r>
      <w:r>
        <w:rPr>
          <w:rFonts w:ascii="Calibri" w:hAnsi="Calibri"/>
          <w:sz w:val="21"/>
        </w:rPr>
        <w:t xml:space="preserve"> after Fitness. C1b is only the </w:t>
      </w:r>
      <w:r>
        <w:rPr>
          <w:rFonts w:ascii="Calibri" w:hAnsi="Calibri"/>
          <w:b/>
          <w:sz w:val="21"/>
        </w:rPr>
        <w:t>411</w:t>
      </w:r>
      <w:r>
        <w:rPr>
          <w:rFonts w:ascii="Calibri" w:hAnsi="Calibri"/>
          <w:sz w:val="21"/>
        </w:rPr>
        <w:t xml:space="preserve"> capture-only fails (same photo mechanism; </w:t>
      </w:r>
      <w:r>
        <w:rPr>
          <w:rFonts w:ascii="Calibri" w:hAnsi="Calibri"/>
          <w:b/>
          <w:sz w:val="21"/>
        </w:rPr>
        <w:t>cannot</w:t>
      </w:r>
      <w:r>
        <w:rPr>
          <w:rFonts w:ascii="Calibri" w:hAnsi="Calibri"/>
          <w:sz w:val="21"/>
        </w:rPr>
        <w:t xml:space="preserve"> defer — liability). DL (1,166) is 100% uploaded-fail and </w:t>
      </w:r>
      <w:r>
        <w:rPr>
          <w:rFonts w:ascii="Calibri" w:hAnsi="Calibri"/>
          <w:b/>
          <w:sz w:val="21"/>
        </w:rPr>
        <w:t>cannot</w:t>
      </w:r>
      <w:r>
        <w:rPr>
          <w:rFonts w:ascii="Calibri" w:hAnsi="Calibri"/>
          <w:sz w:val="21"/>
        </w:rPr>
        <w:t xml:space="preserve"> be deferred. Aadhaar / Permit / Fitness losses are real (1,540 / 2,616 / 2,653) but mostly </w:t>
      </w:r>
      <w:r>
        <w:rPr>
          <w:rFonts w:ascii="Calibri" w:hAnsi="Calibri"/>
          <w:b/>
          <w:sz w:val="21"/>
        </w:rPr>
        <w:t>never-uploaded</w:t>
      </w:r>
      <w:r>
        <w:rPr>
          <w:rFonts w:ascii="Calibri" w:hAnsi="Calibri"/>
          <w:sz w:val="21"/>
        </w:rPr>
        <w:t xml:space="preserve"> or mixed with eligibility (expired, duplicate, name mismatch). A camera does not fix those. Rejected 409 already cleared docs — a gate.</w:t>
      </w:r>
    </w:p>
    <w:p>
      <w:r>
        <w:rPr>
          <w:rFonts w:ascii="Calibri" w:hAnsi="Calibri"/>
          <w:b/>
          <w:sz w:val="21"/>
        </w:rPr>
        <w:t>Leftover queue — possible, not banked.</w:t>
      </w:r>
      <w:r>
        <w:rPr>
          <w:rFonts w:ascii="Calibri" w:hAnsi="Calibri"/>
          <w:sz w:val="21"/>
        </w:rPr>
        <w:t xml:space="preserve"> (1) Reuse C1b’s capture UX on every upload screen including DL — cheap once C1b ships; capture-only n not sized except RC/Insurance; do not add it to 180. (2) Never-upload RC (~2,388) and Insurance (~2,530): looks like a nudge; CAMP_WA_002 was 0pp and only 13 post-Fitness nudges exist in 7,644 people. Fos abandonment after Fitness is 26% vs paid 43% — in-person help, not WhatsApp. That is the </w:t>
      </w:r>
      <w:r>
        <w:rPr>
          <w:rFonts w:ascii="Calibri" w:hAnsi="Calibri"/>
          <w:b/>
          <w:sz w:val="21"/>
        </w:rPr>
        <w:t>assisted-onboarding RCT</w:t>
      </w:r>
      <w:r>
        <w:rPr>
          <w:rFonts w:ascii="Calibri" w:hAnsi="Calibri"/>
          <w:sz w:val="21"/>
        </w:rPr>
        <w:t xml:space="preserve"> (unproven ceiling 128–256/month; overlaps 726 C1a captains; do not add). (3) Paid never-starts docs at 11.5% vs fos ~1% — channel quality; no CAC so not sized.</w:t>
      </w:r>
    </w:p>
    <w:p>
      <w:r>
        <w:rPr>
          <w:rFonts w:ascii="Calibri" w:hAnsi="Calibri"/>
          <w:b/>
          <w:sz w:val="21"/>
        </w:rPr>
        <w:t>How ~134 and ~50 are built.</w:t>
      </w:r>
      <w:r>
        <w:rPr>
          <w:rFonts w:ascii="Calibri" w:hAnsi="Calibri"/>
          <w:sz w:val="21"/>
        </w:rPr>
        <w:t xml:space="preserve"> RC flow ~300/month × 60% show-up × 74% pass = </w:t>
      </w:r>
      <w:r>
        <w:rPr>
          <w:rFonts w:ascii="Calibri" w:hAnsi="Calibri"/>
          <w:b/>
          <w:sz w:val="21"/>
        </w:rPr>
        <w:t>~134</w:t>
      </w:r>
      <w:r>
        <w:rPr>
          <w:rFonts w:ascii="Calibri" w:hAnsi="Calibri"/>
          <w:sz w:val="21"/>
        </w:rPr>
        <w:t xml:space="preserve">. Insurance 67→76% × 91% approved-if-cleared = </w:t>
      </w:r>
      <w:r>
        <w:rPr>
          <w:rFonts w:ascii="Calibri" w:hAnsi="Calibri"/>
          <w:b/>
          <w:sz w:val="21"/>
        </w:rPr>
        <w:t>~46–52</w:t>
      </w:r>
      <w:r>
        <w:rPr>
          <w:rFonts w:ascii="Calibri" w:hAnsi="Calibri"/>
          <w:sz w:val="21"/>
        </w:rPr>
        <w:t xml:space="preserve">. If remaining docs still bind after RC, historical P(approved | passed RC) is 27% and C1a shrinks toward </w:t>
      </w:r>
      <w:r>
        <w:rPr>
          <w:rFonts w:ascii="Calibri" w:hAnsi="Calibri"/>
          <w:b/>
          <w:sz w:val="21"/>
        </w:rPr>
        <w:t>~36/month</w:t>
      </w:r>
      <w:r>
        <w:rPr>
          <w:rFonts w:ascii="Calibri" w:hAnsi="Calibri"/>
          <w:sz w:val="21"/>
        </w:rPr>
        <w:t xml:space="preserve"> — that is the Legal ask (deferral-as-activation).</w:t>
      </w:r>
    </w:p>
    <w:p>
      <w:r>
        <w:rPr>
          <w:rFonts w:ascii="Calibri" w:hAnsi="Calibri"/>
          <w:b/>
          <w:sz w:val="21"/>
        </w:rPr>
        <w:t>ARA:</w:t>
      </w:r>
      <w:r>
        <w:rPr>
          <w:rFonts w:ascii="Calibri" w:hAnsi="Calibri"/>
          <w:sz w:val="21"/>
        </w:rPr>
        <w:t xml:space="preserve"> ₹31.6 gap (₹24.9 vs ₹56.5) is a mean across *all* completed worst-suburban trips. ARA pays only the 89.31% with no return in 20 min → </w:t>
      </w:r>
      <w:r>
        <w:rPr>
          <w:rFonts w:ascii="Calibri" w:hAnsi="Calibri"/>
          <w:b/>
          <w:sz w:val="21"/>
        </w:rPr>
        <w:t>31.6 / 0.8931 ≈ ₹35.4</w:t>
      </w:r>
      <w:r>
        <w:rPr>
          <w:rFonts w:ascii="Calibri" w:hAnsi="Calibri"/>
          <w:sz w:val="21"/>
        </w:rPr>
        <w:t>/leg. 80/100/120% → ~₹69–103k/month sample. 30% of fare (₹105) overpays. City-core ₹104.7 is geography.</w:t>
      </w:r>
    </w:p>
    <w:p>
      <w:r>
        <w:rPr>
          <w:b/>
          <w:sz w:val="24"/>
        </w:rPr>
        <w:t>What I assumed, and what would change my answer</w:t>
      </w:r>
    </w:p>
    <w:p>
      <w:pPr>
        <w:pStyle w:val="ListBullet"/>
      </w:pPr>
      <w:r>
        <w:t>**~15.6-day cutoff.** Later capture-fails → 180 is a floor; they finish alone → slight overstatement.</w:t>
      </w:r>
    </w:p>
    <w:p>
      <w:pPr>
        <w:pStyle w:val="ListBullet"/>
      </w:pPr>
      <w:r>
        <w:t>**Document events**, not the approvals file, for which docs passed (disagree only while unfinished).</w:t>
      </w:r>
    </w:p>
    <w:p>
      <w:pPr>
        <w:pStyle w:val="ListBullet"/>
      </w:pPr>
      <w:r>
        <w:t>**Field vs app not banked** until a randomised assist test on ordinary app/paid signups.</w:t>
      </w:r>
    </w:p>
    <w:p>
      <w:pPr>
        <w:pStyle w:val="ListBullet"/>
      </w:pPr>
      <w:r>
        <w:t>**ARA = rest-suburban, not city-core.** Night suburban trips would have to get as short as city-core. They don’t.</w:t>
      </w:r>
    </w:p>
    <w:p>
      <w:pPr>
        <w:pStyle w:val="ListBullet"/>
      </w:pPr>
      <w:r>
        <w:t>**₹31.6 / 0.8931.** If night returns rise, re-derive; do not freeze ₹35.4.</w:t>
      </w:r>
    </w:p>
    <w:p>
      <w:pPr>
        <w:pStyle w:val="ListBullet"/>
      </w:pPr>
      <w:r>
        <w:t>**C1a ops ₹40–60k** assumes one FTE at 12–15 checks/day.</w:t>
      </w:r>
    </w:p>
    <w:p>
      <w:r>
        <w:rPr>
          <w:b/>
          <w:sz w:val="24"/>
        </w:rPr>
        <w:t>Unresolved (not omitted)</w:t>
      </w:r>
    </w:p>
    <w:p>
      <w:r>
        <w:rPr>
          <w:rFonts w:ascii="Calibri" w:hAnsi="Calibri"/>
          <w:sz w:val="21"/>
        </w:rPr>
        <w:t>No CAC — cannot price field vs paid. `airport_trips.csv` is sampled — rates hold; ₹/month is not a city budget. `signup_zone_id` does not join airport zones. Capture-only was not counted on Aadhaar/Permit/Fitness — reuse UX, then measure.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