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54179">
      <w:pPr>
        <w:spacing w:after="60"/>
        <w:jc w:val="center"/>
      </w:pPr>
      <w:bookmarkStart w:id="0" w:name="_GoBack"/>
      <w:bookmarkEnd w:id="0"/>
      <w:r>
        <w:rPr>
          <w:rFonts w:ascii="Times New Roman" w:hAnsi="Times New Roman"/>
          <w:b/>
          <w:color w:val="000000"/>
          <w:sz w:val="28"/>
        </w:rPr>
        <w:t>SIMATS ENGINEERING (SAVEETHA SCHOOL OF ENGINEERING)</w:t>
      </w:r>
    </w:p>
    <w:p w14:paraId="6D2E699B">
      <w:pPr>
        <w:spacing w:after="60"/>
        <w:jc w:val="center"/>
      </w:pPr>
      <w:r>
        <w:rPr>
          <w:rFonts w:ascii="Times New Roman" w:hAnsi="Times New Roman"/>
          <w:b/>
          <w:color w:val="000000"/>
          <w:sz w:val="22"/>
        </w:rPr>
        <w:t>Department of Computer Science and Engineering</w:t>
      </w:r>
    </w:p>
    <w:p w14:paraId="05615775">
      <w:pPr>
        <w:spacing w:after="60"/>
        <w:jc w:val="center"/>
      </w:pPr>
      <w:r>
        <w:rPr>
          <w:rFonts w:ascii="Times New Roman" w:hAnsi="Times New Roman"/>
          <w:b/>
          <w:color w:val="000000"/>
          <w:sz w:val="26"/>
        </w:rPr>
        <w:t>CO1 ASSESSMENT TOOL 1 – Case Study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912"/>
      </w:tblGrid>
      <w:tr w14:paraId="24BE7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shd w:val="clear" w:color="auto" w:fill="D9EAF7"/>
            <w:vAlign w:val="center"/>
          </w:tcPr>
          <w:p w14:paraId="1CAFC2B2">
            <w:pPr>
              <w:spacing w:after="20"/>
            </w:pPr>
            <w:r>
              <w:rPr>
                <w:rFonts w:ascii="Times New Roman" w:hAnsi="Times New Roman"/>
                <w:b/>
                <w:color w:val="000000"/>
                <w:sz w:val="18"/>
              </w:rPr>
              <w:t>Particulars</w:t>
            </w:r>
          </w:p>
        </w:tc>
        <w:tc>
          <w:tcPr>
            <w:tcW w:w="6912" w:type="dxa"/>
            <w:shd w:val="clear" w:color="auto" w:fill="D9EAF7"/>
            <w:vAlign w:val="center"/>
          </w:tcPr>
          <w:p w14:paraId="4A57187C">
            <w:pPr>
              <w:spacing w:after="20"/>
            </w:pPr>
            <w:r>
              <w:rPr>
                <w:rFonts w:ascii="Times New Roman" w:hAnsi="Times New Roman"/>
                <w:b/>
                <w:color w:val="000000"/>
                <w:sz w:val="18"/>
              </w:rPr>
              <w:t>Details</w:t>
            </w:r>
          </w:p>
        </w:tc>
      </w:tr>
      <w:tr w14:paraId="6D05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5ACC258">
            <w:pPr>
              <w:spacing w:after="20"/>
            </w:pPr>
            <w:r>
              <w:rPr>
                <w:rFonts w:ascii="Times New Roman" w:hAnsi="Times New Roman"/>
                <w:b w:val="0"/>
                <w:color w:val="000000"/>
                <w:sz w:val="18"/>
              </w:rPr>
              <w:t>Course Code</w:t>
            </w:r>
          </w:p>
        </w:tc>
        <w:tc>
          <w:tcPr>
            <w:tcW w:w="6912" w:type="dxa"/>
            <w:vAlign w:val="center"/>
          </w:tcPr>
          <w:p w14:paraId="2C9E7CDC">
            <w:pPr>
              <w:spacing w:after="20"/>
              <w:rPr>
                <w:rFonts w:hint="default"/>
                <w:lang w:val="en-US"/>
              </w:rPr>
            </w:pPr>
            <w:r>
              <w:rPr>
                <w:rFonts w:ascii="Times New Roman" w:hAnsi="Times New Roman"/>
                <w:b w:val="0"/>
                <w:color w:val="000000"/>
                <w:sz w:val="18"/>
              </w:rPr>
              <w:t>CSA10 / CSA102</w:t>
            </w:r>
            <w:r>
              <w:rPr>
                <w:rFonts w:hint="default"/>
                <w:b w:val="0"/>
                <w:color w:val="000000"/>
                <w:sz w:val="18"/>
                <w:lang w:val="en-US"/>
              </w:rPr>
              <w:t>2</w:t>
            </w:r>
          </w:p>
        </w:tc>
      </w:tr>
      <w:tr w14:paraId="3ACE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8374246">
            <w:pPr>
              <w:spacing w:after="20"/>
            </w:pPr>
            <w:r>
              <w:rPr>
                <w:rFonts w:ascii="Times New Roman" w:hAnsi="Times New Roman"/>
                <w:b w:val="0"/>
                <w:color w:val="000000"/>
                <w:sz w:val="18"/>
              </w:rPr>
              <w:t>Course Title</w:t>
            </w:r>
          </w:p>
        </w:tc>
        <w:tc>
          <w:tcPr>
            <w:tcW w:w="6912" w:type="dxa"/>
            <w:vAlign w:val="center"/>
          </w:tcPr>
          <w:p w14:paraId="0A68F141">
            <w:pPr>
              <w:spacing w:after="20"/>
            </w:pPr>
            <w:r>
              <w:rPr>
                <w:rFonts w:ascii="Times New Roman" w:hAnsi="Times New Roman"/>
                <w:b w:val="0"/>
                <w:color w:val="000000"/>
                <w:sz w:val="18"/>
              </w:rPr>
              <w:t>Software Engineering</w:t>
            </w:r>
          </w:p>
        </w:tc>
      </w:tr>
      <w:tr w14:paraId="7E348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83B5108">
            <w:pPr>
              <w:spacing w:after="20"/>
            </w:pPr>
            <w:r>
              <w:rPr>
                <w:rFonts w:ascii="Times New Roman" w:hAnsi="Times New Roman"/>
                <w:b w:val="0"/>
                <w:color w:val="000000"/>
                <w:sz w:val="18"/>
              </w:rPr>
              <w:t>CO Assessed</w:t>
            </w:r>
          </w:p>
        </w:tc>
        <w:tc>
          <w:tcPr>
            <w:tcW w:w="6912" w:type="dxa"/>
            <w:vAlign w:val="center"/>
          </w:tcPr>
          <w:p w14:paraId="19E9B0F8">
            <w:pPr>
              <w:spacing w:after="20"/>
            </w:pPr>
            <w:r>
              <w:rPr>
                <w:rFonts w:ascii="Times New Roman" w:hAnsi="Times New Roman"/>
                <w:b w:val="0"/>
                <w:color w:val="000000"/>
                <w:sz w:val="18"/>
              </w:rPr>
              <w:t>CO1</w:t>
            </w:r>
          </w:p>
        </w:tc>
      </w:tr>
      <w:tr w14:paraId="01BB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16D57B3">
            <w:pPr>
              <w:spacing w:after="20"/>
            </w:pPr>
            <w:r>
              <w:rPr>
                <w:rFonts w:ascii="Times New Roman" w:hAnsi="Times New Roman"/>
                <w:b w:val="0"/>
                <w:color w:val="000000"/>
                <w:sz w:val="18"/>
              </w:rPr>
              <w:t>Assessment</w:t>
            </w:r>
          </w:p>
        </w:tc>
        <w:tc>
          <w:tcPr>
            <w:tcW w:w="6912" w:type="dxa"/>
            <w:vAlign w:val="center"/>
          </w:tcPr>
          <w:p w14:paraId="2094B01F">
            <w:pPr>
              <w:spacing w:after="20"/>
            </w:pPr>
            <w:r>
              <w:rPr>
                <w:rFonts w:ascii="Times New Roman" w:hAnsi="Times New Roman"/>
                <w:b w:val="0"/>
                <w:color w:val="000000"/>
                <w:sz w:val="18"/>
              </w:rPr>
              <w:t>Assessment Tool 1 – Case Study Analysis</w:t>
            </w:r>
          </w:p>
        </w:tc>
      </w:tr>
      <w:tr w14:paraId="299F1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73A1557">
            <w:pPr>
              <w:spacing w:after="20"/>
            </w:pPr>
            <w:r>
              <w:rPr>
                <w:rFonts w:ascii="Times New Roman" w:hAnsi="Times New Roman"/>
                <w:b w:val="0"/>
                <w:color w:val="000000"/>
                <w:sz w:val="18"/>
              </w:rPr>
              <w:t>Weightage</w:t>
            </w:r>
          </w:p>
        </w:tc>
        <w:tc>
          <w:tcPr>
            <w:tcW w:w="6912" w:type="dxa"/>
            <w:vAlign w:val="center"/>
          </w:tcPr>
          <w:p w14:paraId="381B3683">
            <w:pPr>
              <w:spacing w:after="20"/>
            </w:pPr>
            <w:r>
              <w:rPr>
                <w:rFonts w:ascii="Times New Roman" w:hAnsi="Times New Roman"/>
                <w:b w:val="0"/>
                <w:color w:val="000000"/>
                <w:sz w:val="18"/>
              </w:rPr>
              <w:t>20%</w:t>
            </w:r>
          </w:p>
        </w:tc>
      </w:tr>
      <w:tr w14:paraId="7FBE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1D71658">
            <w:pPr>
              <w:spacing w:after="20"/>
            </w:pPr>
            <w:r>
              <w:rPr>
                <w:rFonts w:ascii="Times New Roman" w:hAnsi="Times New Roman"/>
                <w:b w:val="0"/>
                <w:color w:val="000000"/>
                <w:sz w:val="18"/>
              </w:rPr>
              <w:t>Total Marks</w:t>
            </w:r>
          </w:p>
        </w:tc>
        <w:tc>
          <w:tcPr>
            <w:tcW w:w="6912" w:type="dxa"/>
            <w:vAlign w:val="center"/>
          </w:tcPr>
          <w:p w14:paraId="46DAB559">
            <w:pPr>
              <w:spacing w:after="20"/>
            </w:pPr>
            <w:r>
              <w:rPr>
                <w:rFonts w:ascii="Times New Roman" w:hAnsi="Times New Roman"/>
                <w:b w:val="0"/>
                <w:color w:val="000000"/>
                <w:sz w:val="18"/>
              </w:rPr>
              <w:t>25</w:t>
            </w:r>
          </w:p>
        </w:tc>
      </w:tr>
      <w:tr w14:paraId="23BE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A888925">
            <w:pPr>
              <w:spacing w:after="20"/>
            </w:pPr>
            <w:r>
              <w:rPr>
                <w:rFonts w:ascii="Times New Roman" w:hAnsi="Times New Roman"/>
                <w:b w:val="0"/>
                <w:color w:val="000000"/>
                <w:sz w:val="18"/>
              </w:rPr>
              <w:t>CO1 Statement</w:t>
            </w:r>
          </w:p>
        </w:tc>
        <w:tc>
          <w:tcPr>
            <w:tcW w:w="6912" w:type="dxa"/>
            <w:vAlign w:val="center"/>
          </w:tcPr>
          <w:p w14:paraId="70CD1860">
            <w:pPr>
              <w:spacing w:after="20"/>
            </w:pPr>
            <w:r>
              <w:rPr>
                <w:rFonts w:ascii="Times New Roman" w:hAnsi="Times New Roman"/>
                <w:b w:val="0"/>
                <w:color w:val="000000"/>
                <w:sz w:val="18"/>
              </w:rPr>
              <w:t>Apply advanced methodologies and agile project management techniques to manage software projects effectively</w:t>
            </w:r>
          </w:p>
        </w:tc>
      </w:tr>
      <w:tr w14:paraId="57C8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66EFC23">
            <w:pPr>
              <w:spacing w:after="20"/>
            </w:pPr>
            <w:r>
              <w:rPr>
                <w:rFonts w:ascii="Times New Roman" w:hAnsi="Times New Roman"/>
                <w:b w:val="0"/>
                <w:color w:val="000000"/>
                <w:sz w:val="18"/>
              </w:rPr>
              <w:t>Student Name</w:t>
            </w:r>
          </w:p>
        </w:tc>
        <w:tc>
          <w:tcPr>
            <w:tcW w:w="6912" w:type="dxa"/>
            <w:vAlign w:val="center"/>
          </w:tcPr>
          <w:p w14:paraId="343FF88B">
            <w:pPr>
              <w:spacing w:after="20"/>
            </w:pPr>
            <w:r>
              <w:rPr>
                <w:rFonts w:ascii="Times New Roman" w:hAnsi="Times New Roman"/>
                <w:b w:val="0"/>
                <w:color w:val="000000"/>
                <w:sz w:val="18"/>
              </w:rPr>
              <w:t>K. Roshini</w:t>
            </w:r>
          </w:p>
        </w:tc>
      </w:tr>
      <w:tr w14:paraId="536E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0D5EEF2">
            <w:pPr>
              <w:spacing w:after="20"/>
            </w:pPr>
            <w:r>
              <w:rPr>
                <w:rFonts w:ascii="Times New Roman" w:hAnsi="Times New Roman"/>
                <w:b w:val="0"/>
                <w:color w:val="000000"/>
                <w:sz w:val="18"/>
              </w:rPr>
              <w:t>Register Number</w:t>
            </w:r>
          </w:p>
        </w:tc>
        <w:tc>
          <w:tcPr>
            <w:tcW w:w="6912" w:type="dxa"/>
            <w:vAlign w:val="center"/>
          </w:tcPr>
          <w:p w14:paraId="4EB3A9F5">
            <w:pPr>
              <w:spacing w:after="20"/>
            </w:pPr>
            <w:r>
              <w:rPr>
                <w:rFonts w:ascii="Times New Roman" w:hAnsi="Times New Roman"/>
                <w:b w:val="0"/>
                <w:color w:val="000000"/>
                <w:sz w:val="18"/>
              </w:rPr>
              <w:t>192572031</w:t>
            </w:r>
          </w:p>
        </w:tc>
      </w:tr>
      <w:tr w14:paraId="47846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C8F1147">
            <w:pPr>
              <w:spacing w:after="20"/>
            </w:pPr>
            <w:r>
              <w:rPr>
                <w:rFonts w:ascii="Times New Roman" w:hAnsi="Times New Roman"/>
                <w:b w:val="0"/>
                <w:color w:val="000000"/>
                <w:sz w:val="18"/>
              </w:rPr>
              <w:t>Date</w:t>
            </w:r>
          </w:p>
        </w:tc>
        <w:tc>
          <w:tcPr>
            <w:tcW w:w="6912" w:type="dxa"/>
            <w:vAlign w:val="center"/>
          </w:tcPr>
          <w:p w14:paraId="33985B34">
            <w:pPr>
              <w:spacing w:after="20"/>
            </w:pPr>
            <w:r>
              <w:rPr>
                <w:rFonts w:ascii="Times New Roman" w:hAnsi="Times New Roman"/>
                <w:b w:val="0"/>
                <w:color w:val="000000"/>
                <w:sz w:val="18"/>
              </w:rPr>
              <w:t>15/10/2026</w:t>
            </w:r>
          </w:p>
        </w:tc>
      </w:tr>
      <w:tr w14:paraId="2F92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063965B">
            <w:pPr>
              <w:spacing w:after="20"/>
            </w:pPr>
            <w:r>
              <w:rPr>
                <w:rFonts w:ascii="Times New Roman" w:hAnsi="Times New Roman"/>
                <w:b w:val="0"/>
                <w:color w:val="000000"/>
                <w:sz w:val="18"/>
              </w:rPr>
              <w:t>Duration</w:t>
            </w:r>
          </w:p>
        </w:tc>
        <w:tc>
          <w:tcPr>
            <w:tcW w:w="6912" w:type="dxa"/>
            <w:vAlign w:val="center"/>
          </w:tcPr>
          <w:p w14:paraId="2EA3E821">
            <w:pPr>
              <w:spacing w:after="20"/>
            </w:pPr>
            <w:r>
              <w:rPr>
                <w:rFonts w:ascii="Times New Roman" w:hAnsi="Times New Roman"/>
                <w:b w:val="0"/>
                <w:color w:val="000000"/>
                <w:sz w:val="18"/>
              </w:rPr>
              <w:t>60 minutes</w:t>
            </w:r>
          </w:p>
        </w:tc>
      </w:tr>
    </w:tbl>
    <w:p w14:paraId="51108FB0"/>
    <w:p w14:paraId="3C625073">
      <w:pPr>
        <w:pStyle w:val="2"/>
        <w:spacing w:before="160" w:after="80"/>
      </w:pPr>
      <w:r>
        <w:t>Code of Conduct</w:t>
      </w:r>
    </w:p>
    <w:p w14:paraId="653D95A6">
      <w:r>
        <w:t>I, K. Roshini (192572031), certify that this submission is my own work and that I have followed the academic integrity guidelines. I understand that any violation of academic integrity rules may result in disciplinary action.</w:t>
      </w:r>
    </w:p>
    <w:p w14:paraId="71D1CCA2">
      <w:r>
        <w:t>Signature of the Student: K. Roshini (192572031)</w:t>
      </w:r>
    </w:p>
    <w:p w14:paraId="3810342C">
      <w:r>
        <w:br w:type="page"/>
      </w:r>
    </w:p>
    <w:p w14:paraId="349520DF">
      <w:pPr>
        <w:pStyle w:val="2"/>
        <w:spacing w:before="160" w:after="80"/>
      </w:pPr>
      <w:r>
        <w:t>Annexure A – Case Study Analysis</w:t>
      </w:r>
    </w:p>
    <w:p w14:paraId="6B8621E2">
      <w:r>
        <w:t>Instructions to Students: Analyze the assigned problem systematically. Explain the problem, identify stakeholders, analyze the current approach, propose a suitable software solution, justify the development methodology, and discuss outcomes and limitations.</w:t>
      </w:r>
    </w:p>
    <w:p w14:paraId="23995CB2">
      <w:pPr>
        <w:pStyle w:val="3"/>
        <w:spacing w:before="160" w:after="80"/>
      </w:pPr>
      <w:r>
        <w:t>1. Understand the Problem Statement</w:t>
      </w:r>
    </w:p>
    <w:p w14:paraId="0A035B58">
      <w:pPr>
        <w:pStyle w:val="23"/>
        <w:spacing w:after="40"/>
      </w:pPr>
      <w:r>
        <w:t>Explain the problem in your own words.</w:t>
      </w:r>
    </w:p>
    <w:p w14:paraId="39297C28">
      <w:pPr>
        <w:pStyle w:val="23"/>
        <w:spacing w:after="40"/>
      </w:pPr>
      <w:r>
        <w:t>Identify objectives and scope.</w:t>
      </w:r>
    </w:p>
    <w:p w14:paraId="038B3969">
      <w:pPr>
        <w:pStyle w:val="3"/>
        <w:spacing w:before="160" w:after="80"/>
      </w:pPr>
      <w:r>
        <w:t>2. Identify Key Stakeholders and Challenges</w:t>
      </w:r>
    </w:p>
    <w:p w14:paraId="4709EAFD">
      <w:pPr>
        <w:pStyle w:val="23"/>
        <w:spacing w:after="40"/>
      </w:pPr>
      <w:r>
        <w:t>Identify stakeholders, roles and responsibilities.</w:t>
      </w:r>
    </w:p>
    <w:p w14:paraId="2248952C">
      <w:pPr>
        <w:pStyle w:val="23"/>
        <w:spacing w:after="40"/>
      </w:pPr>
      <w:r>
        <w:t>Discuss the challenges faced by each group.</w:t>
      </w:r>
    </w:p>
    <w:p w14:paraId="2C7C4DF4">
      <w:pPr>
        <w:pStyle w:val="3"/>
        <w:spacing w:before="160" w:after="80"/>
      </w:pPr>
      <w:r>
        <w:t>3. Analyze the Current Approach</w:t>
      </w:r>
    </w:p>
    <w:p w14:paraId="031A2D3B">
      <w:pPr>
        <w:pStyle w:val="23"/>
        <w:spacing w:after="40"/>
      </w:pPr>
      <w:r>
        <w:t>Describe the current process and its strengths.</w:t>
      </w:r>
    </w:p>
    <w:p w14:paraId="3CA14FC0">
      <w:pPr>
        <w:pStyle w:val="23"/>
        <w:spacing w:after="40"/>
      </w:pPr>
      <w:r>
        <w:t>Identify limitations and gaps.</w:t>
      </w:r>
    </w:p>
    <w:p w14:paraId="7EE6BC82">
      <w:pPr>
        <w:pStyle w:val="3"/>
        <w:spacing w:before="160" w:after="80"/>
      </w:pPr>
      <w:r>
        <w:t>4. Propose a Suitable Software Solution</w:t>
      </w:r>
    </w:p>
    <w:p w14:paraId="4947E69E">
      <w:pPr>
        <w:pStyle w:val="23"/>
        <w:spacing w:after="40"/>
      </w:pPr>
      <w:r>
        <w:t>Describe major modules and functional/non-functional requirements.</w:t>
      </w:r>
    </w:p>
    <w:p w14:paraId="5CA2EDD1">
      <w:pPr>
        <w:pStyle w:val="23"/>
        <w:spacing w:after="40"/>
      </w:pPr>
      <w:r>
        <w:t>Explain modularity, scalability, maintainability, reliability, usability and security.</w:t>
      </w:r>
    </w:p>
    <w:p w14:paraId="47B4D878">
      <w:pPr>
        <w:pStyle w:val="3"/>
        <w:spacing w:before="160" w:after="80"/>
      </w:pPr>
      <w:r>
        <w:t>5. Justify the Chosen Methodology/Framework</w:t>
      </w:r>
    </w:p>
    <w:p w14:paraId="41AAAD81">
      <w:pPr>
        <w:pStyle w:val="23"/>
        <w:spacing w:after="40"/>
      </w:pPr>
      <w:r>
        <w:t>Select an SDLC model/framework and justify its suitability.</w:t>
      </w:r>
    </w:p>
    <w:p w14:paraId="1E3BE95C">
      <w:pPr>
        <w:pStyle w:val="23"/>
        <w:spacing w:after="40"/>
      </w:pPr>
      <w:r>
        <w:t>Explain how it supports development and maintenance.</w:t>
      </w:r>
    </w:p>
    <w:p w14:paraId="5521BAE5">
      <w:pPr>
        <w:pStyle w:val="3"/>
        <w:spacing w:before="160" w:after="80"/>
      </w:pPr>
      <w:r>
        <w:t>6. Discuss Expected Outcomes and Limitations</w:t>
      </w:r>
    </w:p>
    <w:p w14:paraId="23085DF2">
      <w:pPr>
        <w:pStyle w:val="23"/>
        <w:spacing w:after="40"/>
      </w:pPr>
      <w:r>
        <w:t>Explain expected benefits, risks, limitations and future enhancements.</w:t>
      </w:r>
    </w:p>
    <w:p w14:paraId="0D260B92">
      <w:pPr>
        <w:pStyle w:val="2"/>
        <w:spacing w:before="160" w:after="80"/>
      </w:pPr>
      <w:r>
        <w:t>Rubrics for 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7962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vAlign w:val="center"/>
          </w:tcPr>
          <w:p w14:paraId="32F12BAE">
            <w:pPr>
              <w:spacing w:after="20"/>
            </w:pPr>
            <w:r>
              <w:rPr>
                <w:rFonts w:ascii="Times New Roman" w:hAnsi="Times New Roman"/>
                <w:b/>
                <w:color w:val="000000"/>
                <w:sz w:val="15"/>
              </w:rPr>
              <w:t>Criteria</w:t>
            </w:r>
          </w:p>
        </w:tc>
        <w:tc>
          <w:tcPr>
            <w:tcW w:w="1987" w:type="dxa"/>
            <w:shd w:val="clear" w:color="auto" w:fill="D9EAF7"/>
            <w:vAlign w:val="center"/>
          </w:tcPr>
          <w:p w14:paraId="2B829035">
            <w:pPr>
              <w:spacing w:after="20"/>
            </w:pPr>
            <w:r>
              <w:rPr>
                <w:rFonts w:ascii="Times New Roman" w:hAnsi="Times New Roman"/>
                <w:b/>
                <w:color w:val="000000"/>
                <w:sz w:val="15"/>
              </w:rPr>
              <w:t>Excellent (5)</w:t>
            </w:r>
          </w:p>
        </w:tc>
        <w:tc>
          <w:tcPr>
            <w:tcW w:w="1987" w:type="dxa"/>
            <w:shd w:val="clear" w:color="auto" w:fill="D9EAF7"/>
            <w:vAlign w:val="center"/>
          </w:tcPr>
          <w:p w14:paraId="163DC3BB">
            <w:pPr>
              <w:spacing w:after="20"/>
            </w:pPr>
            <w:r>
              <w:rPr>
                <w:rFonts w:ascii="Times New Roman" w:hAnsi="Times New Roman"/>
                <w:b/>
                <w:color w:val="000000"/>
                <w:sz w:val="15"/>
              </w:rPr>
              <w:t>Good (3)</w:t>
            </w:r>
          </w:p>
        </w:tc>
        <w:tc>
          <w:tcPr>
            <w:tcW w:w="1987" w:type="dxa"/>
            <w:shd w:val="clear" w:color="auto" w:fill="D9EAF7"/>
            <w:vAlign w:val="center"/>
          </w:tcPr>
          <w:p w14:paraId="1A8D9189">
            <w:pPr>
              <w:spacing w:after="20"/>
            </w:pPr>
            <w:r>
              <w:rPr>
                <w:rFonts w:ascii="Times New Roman" w:hAnsi="Times New Roman"/>
                <w:b/>
                <w:color w:val="000000"/>
                <w:sz w:val="15"/>
              </w:rPr>
              <w:t>Satisfactory (2)</w:t>
            </w:r>
          </w:p>
        </w:tc>
        <w:tc>
          <w:tcPr>
            <w:tcW w:w="1987" w:type="dxa"/>
            <w:shd w:val="clear" w:color="auto" w:fill="D9EAF7"/>
            <w:vAlign w:val="center"/>
          </w:tcPr>
          <w:p w14:paraId="6292BBEF">
            <w:pPr>
              <w:spacing w:after="20"/>
            </w:pPr>
            <w:r>
              <w:rPr>
                <w:rFonts w:ascii="Times New Roman" w:hAnsi="Times New Roman"/>
                <w:b/>
                <w:color w:val="000000"/>
                <w:sz w:val="15"/>
              </w:rPr>
              <w:t>Needs Improvement (1)</w:t>
            </w:r>
          </w:p>
        </w:tc>
      </w:tr>
      <w:tr w14:paraId="37300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409D69BA">
            <w:pPr>
              <w:spacing w:after="20"/>
            </w:pPr>
            <w:r>
              <w:rPr>
                <w:rFonts w:ascii="Times New Roman" w:hAnsi="Times New Roman"/>
                <w:b w:val="0"/>
                <w:color w:val="000000"/>
                <w:sz w:val="15"/>
              </w:rPr>
              <w:t>Problem Understanding (30%)</w:t>
            </w:r>
          </w:p>
        </w:tc>
        <w:tc>
          <w:tcPr>
            <w:tcW w:w="1987" w:type="dxa"/>
            <w:vAlign w:val="center"/>
          </w:tcPr>
          <w:p w14:paraId="44EE8A80">
            <w:pPr>
              <w:spacing w:after="20"/>
            </w:pPr>
            <w:r>
              <w:rPr>
                <w:rFonts w:ascii="Times New Roman" w:hAnsi="Times New Roman"/>
                <w:b w:val="0"/>
                <w:color w:val="000000"/>
                <w:sz w:val="15"/>
              </w:rPr>
              <w:t>Clearly explains problem, objectives and scope.</w:t>
            </w:r>
          </w:p>
        </w:tc>
        <w:tc>
          <w:tcPr>
            <w:tcW w:w="1987" w:type="dxa"/>
            <w:vAlign w:val="center"/>
          </w:tcPr>
          <w:p w14:paraId="79BA45C7">
            <w:pPr>
              <w:spacing w:after="20"/>
            </w:pPr>
            <w:r>
              <w:rPr>
                <w:rFonts w:ascii="Times New Roman" w:hAnsi="Times New Roman"/>
                <w:b w:val="0"/>
                <w:color w:val="000000"/>
                <w:sz w:val="15"/>
              </w:rPr>
              <w:t>Minor omissions.</w:t>
            </w:r>
          </w:p>
        </w:tc>
        <w:tc>
          <w:tcPr>
            <w:tcW w:w="1987" w:type="dxa"/>
            <w:vAlign w:val="center"/>
          </w:tcPr>
          <w:p w14:paraId="78403125">
            <w:pPr>
              <w:spacing w:after="20"/>
            </w:pPr>
            <w:r>
              <w:rPr>
                <w:rFonts w:ascii="Times New Roman" w:hAnsi="Times New Roman"/>
                <w:b w:val="0"/>
                <w:color w:val="000000"/>
                <w:sz w:val="15"/>
              </w:rPr>
              <w:t>Basic explanation.</w:t>
            </w:r>
          </w:p>
        </w:tc>
        <w:tc>
          <w:tcPr>
            <w:tcW w:w="1987" w:type="dxa"/>
            <w:vAlign w:val="center"/>
          </w:tcPr>
          <w:p w14:paraId="217A6D9F">
            <w:pPr>
              <w:spacing w:after="20"/>
            </w:pPr>
            <w:r>
              <w:rPr>
                <w:rFonts w:ascii="Times New Roman" w:hAnsi="Times New Roman"/>
                <w:b w:val="0"/>
                <w:color w:val="000000"/>
                <w:sz w:val="15"/>
              </w:rPr>
              <w:t>Objectives/scope unclear.</w:t>
            </w:r>
          </w:p>
        </w:tc>
      </w:tr>
      <w:tr w14:paraId="3803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3C82DBC">
            <w:pPr>
              <w:spacing w:after="20"/>
            </w:pPr>
            <w:r>
              <w:rPr>
                <w:rFonts w:ascii="Times New Roman" w:hAnsi="Times New Roman"/>
                <w:b w:val="0"/>
                <w:color w:val="000000"/>
                <w:sz w:val="15"/>
              </w:rPr>
              <w:t>Stakeholder &amp; Challenge Analysis (25%)</w:t>
            </w:r>
          </w:p>
        </w:tc>
        <w:tc>
          <w:tcPr>
            <w:tcW w:w="1987" w:type="dxa"/>
            <w:vAlign w:val="center"/>
          </w:tcPr>
          <w:p w14:paraId="3628F2B8">
            <w:pPr>
              <w:spacing w:after="20"/>
            </w:pPr>
            <w:r>
              <w:rPr>
                <w:rFonts w:ascii="Times New Roman" w:hAnsi="Times New Roman"/>
                <w:b w:val="0"/>
                <w:color w:val="000000"/>
                <w:sz w:val="15"/>
              </w:rPr>
              <w:t>Identifies stakeholders, roles and challenges clearly.</w:t>
            </w:r>
          </w:p>
        </w:tc>
        <w:tc>
          <w:tcPr>
            <w:tcW w:w="1987" w:type="dxa"/>
            <w:vAlign w:val="center"/>
          </w:tcPr>
          <w:p w14:paraId="7BB39154">
            <w:pPr>
              <w:spacing w:after="20"/>
            </w:pPr>
            <w:r>
              <w:rPr>
                <w:rFonts w:ascii="Times New Roman" w:hAnsi="Times New Roman"/>
                <w:b w:val="0"/>
                <w:color w:val="000000"/>
                <w:sz w:val="15"/>
              </w:rPr>
              <w:t>Most stakeholders included.</w:t>
            </w:r>
          </w:p>
        </w:tc>
        <w:tc>
          <w:tcPr>
            <w:tcW w:w="1987" w:type="dxa"/>
            <w:vAlign w:val="center"/>
          </w:tcPr>
          <w:p w14:paraId="3EC30119">
            <w:pPr>
              <w:spacing w:after="20"/>
            </w:pPr>
            <w:r>
              <w:rPr>
                <w:rFonts w:ascii="Times New Roman" w:hAnsi="Times New Roman"/>
                <w:b w:val="0"/>
                <w:color w:val="000000"/>
                <w:sz w:val="15"/>
              </w:rPr>
              <w:t>Few stakeholders/challenges.</w:t>
            </w:r>
          </w:p>
        </w:tc>
        <w:tc>
          <w:tcPr>
            <w:tcW w:w="1987" w:type="dxa"/>
            <w:vAlign w:val="center"/>
          </w:tcPr>
          <w:p w14:paraId="26569F20">
            <w:pPr>
              <w:spacing w:after="20"/>
            </w:pPr>
            <w:r>
              <w:rPr>
                <w:rFonts w:ascii="Times New Roman" w:hAnsi="Times New Roman"/>
                <w:b w:val="0"/>
                <w:color w:val="000000"/>
                <w:sz w:val="15"/>
              </w:rPr>
              <w:t>Incomplete or inaccurate.</w:t>
            </w:r>
          </w:p>
        </w:tc>
      </w:tr>
      <w:tr w14:paraId="0772C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7E34202">
            <w:pPr>
              <w:spacing w:after="20"/>
            </w:pPr>
            <w:r>
              <w:rPr>
                <w:rFonts w:ascii="Times New Roman" w:hAnsi="Times New Roman"/>
                <w:b w:val="0"/>
                <w:color w:val="000000"/>
                <w:sz w:val="15"/>
              </w:rPr>
              <w:t>Current System Analysis (20%)</w:t>
            </w:r>
          </w:p>
        </w:tc>
        <w:tc>
          <w:tcPr>
            <w:tcW w:w="1987" w:type="dxa"/>
            <w:vAlign w:val="center"/>
          </w:tcPr>
          <w:p w14:paraId="4B71C357">
            <w:pPr>
              <w:spacing w:after="20"/>
            </w:pPr>
            <w:r>
              <w:rPr>
                <w:rFonts w:ascii="Times New Roman" w:hAnsi="Times New Roman"/>
                <w:b w:val="0"/>
                <w:color w:val="000000"/>
                <w:sz w:val="15"/>
              </w:rPr>
              <w:t>Thorough strengths, weaknesses and gaps.</w:t>
            </w:r>
          </w:p>
        </w:tc>
        <w:tc>
          <w:tcPr>
            <w:tcW w:w="1987" w:type="dxa"/>
            <w:vAlign w:val="center"/>
          </w:tcPr>
          <w:p w14:paraId="2F6C0C09">
            <w:pPr>
              <w:spacing w:after="20"/>
            </w:pPr>
            <w:r>
              <w:rPr>
                <w:rFonts w:ascii="Times New Roman" w:hAnsi="Times New Roman"/>
                <w:b w:val="0"/>
                <w:color w:val="000000"/>
                <w:sz w:val="15"/>
              </w:rPr>
              <w:t>Good analysis with small gaps.</w:t>
            </w:r>
          </w:p>
        </w:tc>
        <w:tc>
          <w:tcPr>
            <w:tcW w:w="1987" w:type="dxa"/>
            <w:vAlign w:val="center"/>
          </w:tcPr>
          <w:p w14:paraId="15541392">
            <w:pPr>
              <w:spacing w:after="20"/>
            </w:pPr>
            <w:r>
              <w:rPr>
                <w:rFonts w:ascii="Times New Roman" w:hAnsi="Times New Roman"/>
                <w:b w:val="0"/>
                <w:color w:val="000000"/>
                <w:sz w:val="15"/>
              </w:rPr>
              <w:t>Limited analysis.</w:t>
            </w:r>
          </w:p>
        </w:tc>
        <w:tc>
          <w:tcPr>
            <w:tcW w:w="1987" w:type="dxa"/>
            <w:vAlign w:val="center"/>
          </w:tcPr>
          <w:p w14:paraId="41968702">
            <w:pPr>
              <w:spacing w:after="20"/>
            </w:pPr>
            <w:r>
              <w:rPr>
                <w:rFonts w:ascii="Times New Roman" w:hAnsi="Times New Roman"/>
                <w:b w:val="0"/>
                <w:color w:val="000000"/>
                <w:sz w:val="15"/>
              </w:rPr>
              <w:t>Current system not analyzed.</w:t>
            </w:r>
          </w:p>
        </w:tc>
      </w:tr>
      <w:tr w14:paraId="2A795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3A76773">
            <w:pPr>
              <w:spacing w:after="20"/>
            </w:pPr>
            <w:r>
              <w:rPr>
                <w:rFonts w:ascii="Times New Roman" w:hAnsi="Times New Roman"/>
                <w:b w:val="0"/>
                <w:color w:val="000000"/>
                <w:sz w:val="15"/>
              </w:rPr>
              <w:t>Proposed Solution &amp; Principles (15%)</w:t>
            </w:r>
          </w:p>
        </w:tc>
        <w:tc>
          <w:tcPr>
            <w:tcW w:w="1987" w:type="dxa"/>
            <w:vAlign w:val="center"/>
          </w:tcPr>
          <w:p w14:paraId="0EA2DC12">
            <w:pPr>
              <w:spacing w:after="20"/>
            </w:pPr>
            <w:r>
              <w:rPr>
                <w:rFonts w:ascii="Times New Roman" w:hAnsi="Times New Roman"/>
                <w:b w:val="0"/>
                <w:color w:val="000000"/>
                <w:sz w:val="15"/>
              </w:rPr>
              <w:t>Feasible solution applies modularity, scalability, reliability and security.</w:t>
            </w:r>
          </w:p>
        </w:tc>
        <w:tc>
          <w:tcPr>
            <w:tcW w:w="1987" w:type="dxa"/>
            <w:vAlign w:val="center"/>
          </w:tcPr>
          <w:p w14:paraId="42A70CA7">
            <w:pPr>
              <w:spacing w:after="20"/>
            </w:pPr>
            <w:r>
              <w:rPr>
                <w:rFonts w:ascii="Times New Roman" w:hAnsi="Times New Roman"/>
                <w:b w:val="0"/>
                <w:color w:val="000000"/>
                <w:sz w:val="15"/>
              </w:rPr>
              <w:t>Suitable solution with good principles.</w:t>
            </w:r>
          </w:p>
        </w:tc>
        <w:tc>
          <w:tcPr>
            <w:tcW w:w="1987" w:type="dxa"/>
            <w:vAlign w:val="center"/>
          </w:tcPr>
          <w:p w14:paraId="10353A82">
            <w:pPr>
              <w:spacing w:after="20"/>
            </w:pPr>
            <w:r>
              <w:rPr>
                <w:rFonts w:ascii="Times New Roman" w:hAnsi="Times New Roman"/>
                <w:b w:val="0"/>
                <w:color w:val="000000"/>
                <w:sz w:val="15"/>
              </w:rPr>
              <w:t>Basic solution.</w:t>
            </w:r>
          </w:p>
        </w:tc>
        <w:tc>
          <w:tcPr>
            <w:tcW w:w="1987" w:type="dxa"/>
            <w:vAlign w:val="center"/>
          </w:tcPr>
          <w:p w14:paraId="5213E1B9">
            <w:pPr>
              <w:spacing w:after="20"/>
            </w:pPr>
            <w:r>
              <w:rPr>
                <w:rFonts w:ascii="Times New Roman" w:hAnsi="Times New Roman"/>
                <w:b w:val="0"/>
                <w:color w:val="000000"/>
                <w:sz w:val="15"/>
              </w:rPr>
              <w:t>Unclear solution or requirements.</w:t>
            </w:r>
          </w:p>
        </w:tc>
      </w:tr>
      <w:tr w14:paraId="699B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F484823">
            <w:pPr>
              <w:spacing w:after="20"/>
            </w:pPr>
            <w:r>
              <w:rPr>
                <w:rFonts w:ascii="Times New Roman" w:hAnsi="Times New Roman"/>
                <w:b w:val="0"/>
                <w:color w:val="000000"/>
                <w:sz w:val="15"/>
              </w:rPr>
              <w:t>Methodology Justification (10%)</w:t>
            </w:r>
          </w:p>
        </w:tc>
        <w:tc>
          <w:tcPr>
            <w:tcW w:w="1987" w:type="dxa"/>
            <w:vAlign w:val="center"/>
          </w:tcPr>
          <w:p w14:paraId="7D7CF957">
            <w:pPr>
              <w:spacing w:after="20"/>
            </w:pPr>
            <w:r>
              <w:rPr>
                <w:rFonts w:ascii="Times New Roman" w:hAnsi="Times New Roman"/>
                <w:b w:val="0"/>
                <w:color w:val="000000"/>
                <w:sz w:val="15"/>
              </w:rPr>
              <w:t>Strong justification of SDLC/framework.</w:t>
            </w:r>
          </w:p>
        </w:tc>
        <w:tc>
          <w:tcPr>
            <w:tcW w:w="1987" w:type="dxa"/>
            <w:vAlign w:val="center"/>
          </w:tcPr>
          <w:p w14:paraId="4BA49ABB">
            <w:pPr>
              <w:spacing w:after="20"/>
            </w:pPr>
            <w:r>
              <w:rPr>
                <w:rFonts w:ascii="Times New Roman" w:hAnsi="Times New Roman"/>
                <w:b w:val="0"/>
                <w:color w:val="000000"/>
                <w:sz w:val="15"/>
              </w:rPr>
              <w:t>Suitable model adequately justified.</w:t>
            </w:r>
          </w:p>
        </w:tc>
        <w:tc>
          <w:tcPr>
            <w:tcW w:w="1987" w:type="dxa"/>
            <w:vAlign w:val="center"/>
          </w:tcPr>
          <w:p w14:paraId="643A8674">
            <w:pPr>
              <w:spacing w:after="20"/>
            </w:pPr>
            <w:r>
              <w:rPr>
                <w:rFonts w:ascii="Times New Roman" w:hAnsi="Times New Roman"/>
                <w:b w:val="0"/>
                <w:color w:val="000000"/>
                <w:sz w:val="15"/>
              </w:rPr>
              <w:t>Weak justification.</w:t>
            </w:r>
          </w:p>
        </w:tc>
        <w:tc>
          <w:tcPr>
            <w:tcW w:w="1987" w:type="dxa"/>
            <w:vAlign w:val="center"/>
          </w:tcPr>
          <w:p w14:paraId="26FA4064">
            <w:pPr>
              <w:spacing w:after="20"/>
            </w:pPr>
            <w:r>
              <w:rPr>
                <w:rFonts w:ascii="Times New Roman" w:hAnsi="Times New Roman"/>
                <w:b w:val="0"/>
                <w:color w:val="000000"/>
                <w:sz w:val="15"/>
              </w:rPr>
              <w:t>Methodology missing/inappropriate.</w:t>
            </w:r>
          </w:p>
        </w:tc>
      </w:tr>
    </w:tbl>
    <w:p w14:paraId="1F6AE367"/>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ECE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6A920BDF">
            <w:pPr>
              <w:spacing w:after="20"/>
            </w:pPr>
            <w:r>
              <w:rPr>
                <w:rFonts w:ascii="Times New Roman" w:hAnsi="Times New Roman"/>
                <w:b/>
                <w:color w:val="000000"/>
                <w:sz w:val="16"/>
              </w:rPr>
              <w:t>Criteria</w:t>
            </w:r>
          </w:p>
        </w:tc>
        <w:tc>
          <w:tcPr>
            <w:tcW w:w="4968" w:type="dxa"/>
            <w:shd w:val="clear" w:color="auto" w:fill="D9EAF7"/>
            <w:vAlign w:val="center"/>
          </w:tcPr>
          <w:p w14:paraId="2398028B">
            <w:pPr>
              <w:spacing w:after="20"/>
            </w:pPr>
            <w:r>
              <w:rPr>
                <w:rFonts w:ascii="Times New Roman" w:hAnsi="Times New Roman"/>
                <w:b/>
                <w:color w:val="000000"/>
                <w:sz w:val="16"/>
              </w:rPr>
              <w:t>Mark</w:t>
            </w:r>
          </w:p>
        </w:tc>
      </w:tr>
      <w:tr w14:paraId="3E99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41A6D1D">
            <w:pPr>
              <w:spacing w:after="20"/>
            </w:pPr>
            <w:r>
              <w:rPr>
                <w:rFonts w:ascii="Times New Roman" w:hAnsi="Times New Roman"/>
                <w:b w:val="0"/>
                <w:color w:val="000000"/>
                <w:sz w:val="16"/>
              </w:rPr>
              <w:t>Problem Understanding (30%)</w:t>
            </w:r>
          </w:p>
        </w:tc>
        <w:tc>
          <w:tcPr>
            <w:tcW w:w="4968" w:type="dxa"/>
            <w:vAlign w:val="center"/>
          </w:tcPr>
          <w:p w14:paraId="2ABB016B">
            <w:pPr>
              <w:spacing w:after="20"/>
            </w:pPr>
            <w:r>
              <w:rPr>
                <w:rFonts w:ascii="Times New Roman" w:hAnsi="Times New Roman"/>
                <w:b w:val="0"/>
                <w:color w:val="000000"/>
                <w:sz w:val="16"/>
              </w:rPr>
              <w:t>____ / 5</w:t>
            </w:r>
          </w:p>
        </w:tc>
      </w:tr>
      <w:tr w14:paraId="240B5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64166BE">
            <w:pPr>
              <w:spacing w:after="20"/>
            </w:pPr>
            <w:r>
              <w:rPr>
                <w:rFonts w:ascii="Times New Roman" w:hAnsi="Times New Roman"/>
                <w:b w:val="0"/>
                <w:color w:val="000000"/>
                <w:sz w:val="16"/>
              </w:rPr>
              <w:t>Stakeholder &amp; Challenge Analysis (25%)</w:t>
            </w:r>
          </w:p>
        </w:tc>
        <w:tc>
          <w:tcPr>
            <w:tcW w:w="4968" w:type="dxa"/>
            <w:vAlign w:val="center"/>
          </w:tcPr>
          <w:p w14:paraId="27C67768">
            <w:pPr>
              <w:spacing w:after="20"/>
            </w:pPr>
            <w:r>
              <w:rPr>
                <w:rFonts w:ascii="Times New Roman" w:hAnsi="Times New Roman"/>
                <w:b w:val="0"/>
                <w:color w:val="000000"/>
                <w:sz w:val="16"/>
              </w:rPr>
              <w:t>____ / 5</w:t>
            </w:r>
          </w:p>
        </w:tc>
      </w:tr>
      <w:tr w14:paraId="04C0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78C6C6A">
            <w:pPr>
              <w:spacing w:after="20"/>
            </w:pPr>
            <w:r>
              <w:rPr>
                <w:rFonts w:ascii="Times New Roman" w:hAnsi="Times New Roman"/>
                <w:b w:val="0"/>
                <w:color w:val="000000"/>
                <w:sz w:val="16"/>
              </w:rPr>
              <w:t>Current System Analysis (20%)</w:t>
            </w:r>
          </w:p>
        </w:tc>
        <w:tc>
          <w:tcPr>
            <w:tcW w:w="4968" w:type="dxa"/>
            <w:vAlign w:val="center"/>
          </w:tcPr>
          <w:p w14:paraId="368D7B40">
            <w:pPr>
              <w:spacing w:after="20"/>
            </w:pPr>
            <w:r>
              <w:rPr>
                <w:rFonts w:ascii="Times New Roman" w:hAnsi="Times New Roman"/>
                <w:b w:val="0"/>
                <w:color w:val="000000"/>
                <w:sz w:val="16"/>
              </w:rPr>
              <w:t>____ / 5</w:t>
            </w:r>
          </w:p>
        </w:tc>
      </w:tr>
      <w:tr w14:paraId="32CE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7CC7CB1">
            <w:pPr>
              <w:spacing w:after="20"/>
            </w:pPr>
            <w:r>
              <w:rPr>
                <w:rFonts w:ascii="Times New Roman" w:hAnsi="Times New Roman"/>
                <w:b w:val="0"/>
                <w:color w:val="000000"/>
                <w:sz w:val="16"/>
              </w:rPr>
              <w:t>Proposed Solution &amp; Principles (15%)</w:t>
            </w:r>
          </w:p>
        </w:tc>
        <w:tc>
          <w:tcPr>
            <w:tcW w:w="4968" w:type="dxa"/>
            <w:vAlign w:val="center"/>
          </w:tcPr>
          <w:p w14:paraId="309A8F89">
            <w:pPr>
              <w:spacing w:after="20"/>
            </w:pPr>
            <w:r>
              <w:rPr>
                <w:rFonts w:ascii="Times New Roman" w:hAnsi="Times New Roman"/>
                <w:b w:val="0"/>
                <w:color w:val="000000"/>
                <w:sz w:val="16"/>
              </w:rPr>
              <w:t>____ / 5</w:t>
            </w:r>
          </w:p>
        </w:tc>
      </w:tr>
      <w:tr w14:paraId="7E042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B4CCD20">
            <w:pPr>
              <w:spacing w:after="20"/>
            </w:pPr>
            <w:r>
              <w:rPr>
                <w:rFonts w:ascii="Times New Roman" w:hAnsi="Times New Roman"/>
                <w:b w:val="0"/>
                <w:color w:val="000000"/>
                <w:sz w:val="16"/>
              </w:rPr>
              <w:t>Methodology Justification (10%)</w:t>
            </w:r>
          </w:p>
        </w:tc>
        <w:tc>
          <w:tcPr>
            <w:tcW w:w="4968" w:type="dxa"/>
            <w:vAlign w:val="center"/>
          </w:tcPr>
          <w:p w14:paraId="52F5B69E">
            <w:pPr>
              <w:spacing w:after="20"/>
            </w:pPr>
            <w:r>
              <w:rPr>
                <w:rFonts w:ascii="Times New Roman" w:hAnsi="Times New Roman"/>
                <w:b w:val="0"/>
                <w:color w:val="000000"/>
                <w:sz w:val="16"/>
              </w:rPr>
              <w:t>____ / 5</w:t>
            </w:r>
          </w:p>
        </w:tc>
      </w:tr>
      <w:tr w14:paraId="5A41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F7475EC">
            <w:pPr>
              <w:spacing w:after="20"/>
            </w:pPr>
            <w:r>
              <w:rPr>
                <w:rFonts w:ascii="Times New Roman" w:hAnsi="Times New Roman"/>
                <w:b w:val="0"/>
                <w:color w:val="000000"/>
                <w:sz w:val="16"/>
              </w:rPr>
              <w:t>TOTAL</w:t>
            </w:r>
          </w:p>
        </w:tc>
        <w:tc>
          <w:tcPr>
            <w:tcW w:w="4968" w:type="dxa"/>
            <w:vAlign w:val="center"/>
          </w:tcPr>
          <w:p w14:paraId="27477B95">
            <w:pPr>
              <w:spacing w:after="20"/>
            </w:pPr>
            <w:r>
              <w:rPr>
                <w:rFonts w:ascii="Times New Roman" w:hAnsi="Times New Roman"/>
                <w:b w:val="0"/>
                <w:color w:val="000000"/>
                <w:sz w:val="16"/>
              </w:rPr>
              <w:t>____ / 25</w:t>
            </w:r>
          </w:p>
        </w:tc>
      </w:tr>
    </w:tbl>
    <w:p w14:paraId="4BCA0485"/>
    <w:p w14:paraId="2CED8A88">
      <w:r>
        <w:br w:type="page"/>
      </w:r>
    </w:p>
    <w:p w14:paraId="4D42A908">
      <w:pPr>
        <w:spacing w:after="60"/>
        <w:jc w:val="center"/>
      </w:pPr>
      <w:r>
        <w:rPr>
          <w:rFonts w:ascii="Times New Roman" w:hAnsi="Times New Roman"/>
          <w:b/>
          <w:color w:val="000000"/>
          <w:sz w:val="28"/>
        </w:rPr>
        <w:t>ABSTRACT</w:t>
      </w:r>
    </w:p>
    <w:p w14:paraId="310B7688">
      <w:r>
        <w:t>Publicly traded companies rely on shareholder voting to approve board appointments, mergers, executive compensation and other important corporate decisions. Traditional proxy voting can involve paper-based processes, delayed counting, high administrative costs and limited visibility into the status of votes. These weaknesses can reduce shareholder confidence and create opportunities for errors, duplicate submissions or improper influence.</w:t>
      </w:r>
    </w:p>
    <w:p w14:paraId="41F3612F">
      <w:r>
        <w:t>This case study proposes a Corporate Governance E-Voting Engine that supports remote shareholder participation while protecting ballot privacy and vote integrity. The system verifies shareholder identity and share ownership, distributes digital ballots to eligible participants, applies vote weight according to verified shareholding, prevents duplicate voting, and produces auditable aggregate results. Cryptographic methods, access controls, secure communication and audit records are proposed to strengthen transparency without exposing individual voting choices.</w:t>
      </w:r>
    </w:p>
    <w:p w14:paraId="264C6CE7">
      <w:r>
        <w:t>The solution is planned using an iterative software engineering approach so that identity verification, ballot handling, tallying, reporting and security controls can be designed and tested in stages. The proposal is an academic design, not a certified production voting platform. Legal compliance, brokerage integrations, cryptographic design and independent security testing would require specialist review before real-world deployment.</w:t>
      </w:r>
    </w:p>
    <w:p w14:paraId="695FAAA8">
      <w:pPr>
        <w:pStyle w:val="2"/>
        <w:spacing w:before="160" w:after="80"/>
      </w:pPr>
      <w:r>
        <w:t>1. Introduction</w:t>
      </w:r>
    </w:p>
    <w:p w14:paraId="3E9AA584">
      <w:r>
        <w:t>Corporate governance depends on shareholders being able to express their decisions in a fair and verifiable manner. In large companies, shareholders may be spread across regions and may depend on intermediaries to participate in meetings and votes. A digital voting platform can improve accessibility, but it must protect identity, eligibility, privacy and counting accuracy.</w:t>
      </w:r>
    </w:p>
    <w:p w14:paraId="70331F63">
      <w:pPr>
        <w:pStyle w:val="2"/>
        <w:spacing w:before="160" w:after="80"/>
      </w:pPr>
      <w:r>
        <w:t>2. Aim</w:t>
      </w:r>
    </w:p>
    <w:p w14:paraId="4F607B90">
      <w:r>
        <w:t>To design a secure and transparent electronic voting engine for publicly traded companies that verifies shareholder eligibility, weights votes by share ownership, prevents duplicate voting and supports auditable results while preserving ballot secrecy.</w:t>
      </w:r>
    </w:p>
    <w:p w14:paraId="1F332A93">
      <w:pPr>
        <w:pStyle w:val="2"/>
        <w:spacing w:before="160" w:after="80"/>
      </w:pPr>
      <w:r>
        <w:t>3. Objectives</w:t>
      </w:r>
    </w:p>
    <w:p w14:paraId="5B5A44BA">
      <w:pPr>
        <w:pStyle w:val="29"/>
        <w:spacing w:after="40"/>
      </w:pPr>
      <w:r>
        <w:t>Prevent manipulation, duplicate voting and unauthorized participation.</w:t>
      </w:r>
    </w:p>
    <w:p w14:paraId="74CD3AD4">
      <w:pPr>
        <w:pStyle w:val="29"/>
        <w:spacing w:after="40"/>
      </w:pPr>
      <w:r>
        <w:t>Verify equity ownership through approved brokerage or shareholder-register integrations.</w:t>
      </w:r>
    </w:p>
    <w:p w14:paraId="2966EAD5">
      <w:pPr>
        <w:pStyle w:val="29"/>
        <w:spacing w:after="40"/>
      </w:pPr>
      <w:r>
        <w:t>Issue secure digital ballots only to eligible shareholders.</w:t>
      </w:r>
    </w:p>
    <w:p w14:paraId="21182C3E">
      <w:pPr>
        <w:pStyle w:val="29"/>
        <w:spacing w:after="40"/>
      </w:pPr>
      <w:r>
        <w:t>Separate voter identity from ballot choices using privacy-preserving cryptographic design.</w:t>
      </w:r>
    </w:p>
    <w:p w14:paraId="54366D8D">
      <w:pPr>
        <w:pStyle w:val="29"/>
        <w:spacing w:after="40"/>
      </w:pPr>
      <w:r>
        <w:t>Calculate aggregate results using verified share-weighted votes.</w:t>
      </w:r>
    </w:p>
    <w:p w14:paraId="693115DA">
      <w:pPr>
        <w:pStyle w:val="29"/>
        <w:spacing w:after="40"/>
      </w:pPr>
      <w:r>
        <w:t>Provide verifiable audit evidence and compliance-oriented reports.</w:t>
      </w:r>
    </w:p>
    <w:p w14:paraId="0ABAAA7D">
      <w:pPr>
        <w:pStyle w:val="29"/>
        <w:spacing w:after="40"/>
      </w:pPr>
      <w:r>
        <w:t>Support remote participation and reduce administrative overhead.</w:t>
      </w:r>
    </w:p>
    <w:p w14:paraId="1DB73AFE">
      <w:pPr>
        <w:pStyle w:val="2"/>
        <w:spacing w:before="160" w:after="80"/>
      </w:pPr>
      <w:r>
        <w:t>4. Problem Statement</w:t>
      </w:r>
    </w:p>
    <w:p w14:paraId="5260DD4A">
      <w:r>
        <w:t>Traditional corporate proxy voting can be slow, expensive and difficult for shareholders to independently verify. Manual handling and disconnected systems can increase the risk of counting errors, duplicate submissions, delays and concerns about influence over the process. A secure electronic system is therefore needed to authenticate eligible shareholders, verify their shareholding, distribute ballots, apply the correct voting weight and publish trustworthy aggregate results without revealing individual choices.</w:t>
      </w:r>
    </w:p>
    <w:p w14:paraId="6D5ED018">
      <w:pPr>
        <w:pStyle w:val="2"/>
        <w:spacing w:before="160" w:after="80"/>
      </w:pPr>
      <w:r>
        <w:t>5. Scope of the Study</w:t>
      </w:r>
    </w:p>
    <w:p w14:paraId="237EA0A3">
      <w:pPr>
        <w:pStyle w:val="23"/>
        <w:spacing w:after="40"/>
      </w:pPr>
      <w:r>
        <w:t>Shareholder registration and identity verification through approved sources.</w:t>
      </w:r>
    </w:p>
    <w:p w14:paraId="2D5B7D34">
      <w:pPr>
        <w:pStyle w:val="23"/>
        <w:spacing w:after="40"/>
      </w:pPr>
      <w:r>
        <w:t>Verification of share ownership and voting eligibility.</w:t>
      </w:r>
    </w:p>
    <w:p w14:paraId="1D1A3429">
      <w:pPr>
        <w:pStyle w:val="23"/>
        <w:spacing w:after="40"/>
      </w:pPr>
      <w:r>
        <w:t>Secure meeting and ballot creation with defined opening and closing times.</w:t>
      </w:r>
    </w:p>
    <w:p w14:paraId="21504FA6">
      <w:pPr>
        <w:pStyle w:val="23"/>
        <w:spacing w:after="40"/>
      </w:pPr>
      <w:r>
        <w:t>One valid vote per eligible voting entitlement, with duplicate prevention.</w:t>
      </w:r>
    </w:p>
    <w:p w14:paraId="6740F4F6">
      <w:pPr>
        <w:pStyle w:val="23"/>
        <w:spacing w:after="40"/>
      </w:pPr>
      <w:r>
        <w:t>Share-weighted tallying and aggregate result publication.</w:t>
      </w:r>
    </w:p>
    <w:p w14:paraId="509B361F">
      <w:pPr>
        <w:pStyle w:val="23"/>
        <w:spacing w:after="40"/>
      </w:pPr>
      <w:r>
        <w:t>Audit trails, compliance reports and administrative controls.</w:t>
      </w:r>
    </w:p>
    <w:p w14:paraId="71D01BD9">
      <w:pPr>
        <w:pStyle w:val="23"/>
        <w:spacing w:after="40"/>
      </w:pPr>
      <w:r>
        <w:t>Security, privacy, accessibility and operational testing.</w:t>
      </w:r>
    </w:p>
    <w:p w14:paraId="42D6DD02">
      <w:pPr>
        <w:pStyle w:val="2"/>
        <w:spacing w:before="160" w:after="80"/>
      </w:pPr>
      <w:r>
        <w:t>6. Key Stakeholders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560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6D45DD8D">
            <w:pPr>
              <w:spacing w:after="20"/>
            </w:pPr>
            <w:r>
              <w:rPr>
                <w:rFonts w:ascii="Times New Roman" w:hAnsi="Times New Roman"/>
                <w:b/>
                <w:color w:val="000000"/>
                <w:sz w:val="18"/>
              </w:rPr>
              <w:t>Stakeholder</w:t>
            </w:r>
          </w:p>
        </w:tc>
        <w:tc>
          <w:tcPr>
            <w:tcW w:w="4968" w:type="dxa"/>
            <w:shd w:val="clear" w:color="auto" w:fill="D9EAF7"/>
            <w:vAlign w:val="center"/>
          </w:tcPr>
          <w:p w14:paraId="4DADADB2">
            <w:pPr>
              <w:spacing w:after="20"/>
            </w:pPr>
            <w:r>
              <w:rPr>
                <w:rFonts w:ascii="Times New Roman" w:hAnsi="Times New Roman"/>
                <w:b/>
                <w:color w:val="000000"/>
                <w:sz w:val="18"/>
              </w:rPr>
              <w:t>Role and responsibility</w:t>
            </w:r>
          </w:p>
        </w:tc>
      </w:tr>
      <w:tr w14:paraId="6666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6784D37">
            <w:pPr>
              <w:spacing w:after="20"/>
            </w:pPr>
            <w:r>
              <w:rPr>
                <w:rFonts w:ascii="Times New Roman" w:hAnsi="Times New Roman"/>
                <w:b w:val="0"/>
                <w:color w:val="000000"/>
                <w:sz w:val="18"/>
              </w:rPr>
              <w:t>Shareholders</w:t>
            </w:r>
          </w:p>
        </w:tc>
        <w:tc>
          <w:tcPr>
            <w:tcW w:w="4968" w:type="dxa"/>
            <w:vAlign w:val="center"/>
          </w:tcPr>
          <w:p w14:paraId="0FEEDEFC">
            <w:pPr>
              <w:spacing w:after="20"/>
            </w:pPr>
            <w:r>
              <w:rPr>
                <w:rFonts w:ascii="Times New Roman" w:hAnsi="Times New Roman"/>
                <w:b w:val="0"/>
                <w:color w:val="000000"/>
                <w:sz w:val="18"/>
              </w:rPr>
              <w:t>Review resolutions, cast votes and verify that their participation was recorded.</w:t>
            </w:r>
          </w:p>
        </w:tc>
      </w:tr>
      <w:tr w14:paraId="797E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4F9B955">
            <w:pPr>
              <w:spacing w:after="20"/>
            </w:pPr>
            <w:r>
              <w:rPr>
                <w:rFonts w:ascii="Times New Roman" w:hAnsi="Times New Roman"/>
                <w:b w:val="0"/>
                <w:color w:val="000000"/>
                <w:sz w:val="18"/>
              </w:rPr>
              <w:t>Company secretary / governance team</w:t>
            </w:r>
          </w:p>
        </w:tc>
        <w:tc>
          <w:tcPr>
            <w:tcW w:w="4968" w:type="dxa"/>
            <w:vAlign w:val="center"/>
          </w:tcPr>
          <w:p w14:paraId="7368045B">
            <w:pPr>
              <w:spacing w:after="20"/>
            </w:pPr>
            <w:r>
              <w:rPr>
                <w:rFonts w:ascii="Times New Roman" w:hAnsi="Times New Roman"/>
                <w:b w:val="0"/>
                <w:color w:val="000000"/>
                <w:sz w:val="18"/>
              </w:rPr>
              <w:t>Create meetings, define resolutions and manage official voting procedures.</w:t>
            </w:r>
          </w:p>
        </w:tc>
      </w:tr>
      <w:tr w14:paraId="5779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C388FE0">
            <w:pPr>
              <w:spacing w:after="20"/>
            </w:pPr>
            <w:r>
              <w:rPr>
                <w:rFonts w:ascii="Times New Roman" w:hAnsi="Times New Roman"/>
                <w:b w:val="0"/>
                <w:color w:val="000000"/>
                <w:sz w:val="18"/>
              </w:rPr>
              <w:t>Board and authorized officers</w:t>
            </w:r>
          </w:p>
        </w:tc>
        <w:tc>
          <w:tcPr>
            <w:tcW w:w="4968" w:type="dxa"/>
            <w:vAlign w:val="center"/>
          </w:tcPr>
          <w:p w14:paraId="215D3F47">
            <w:pPr>
              <w:spacing w:after="20"/>
            </w:pPr>
            <w:r>
              <w:rPr>
                <w:rFonts w:ascii="Times New Roman" w:hAnsi="Times New Roman"/>
                <w:b w:val="0"/>
                <w:color w:val="000000"/>
                <w:sz w:val="18"/>
              </w:rPr>
              <w:t>Approve meeting rules and review certified aggregate outcomes.</w:t>
            </w:r>
          </w:p>
        </w:tc>
      </w:tr>
      <w:tr w14:paraId="3C386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C315046">
            <w:pPr>
              <w:spacing w:after="20"/>
            </w:pPr>
            <w:r>
              <w:rPr>
                <w:rFonts w:ascii="Times New Roman" w:hAnsi="Times New Roman"/>
                <w:b w:val="0"/>
                <w:color w:val="000000"/>
                <w:sz w:val="18"/>
              </w:rPr>
              <w:t>Brokerages / share registries</w:t>
            </w:r>
          </w:p>
        </w:tc>
        <w:tc>
          <w:tcPr>
            <w:tcW w:w="4968" w:type="dxa"/>
            <w:vAlign w:val="center"/>
          </w:tcPr>
          <w:p w14:paraId="0BDFE0AA">
            <w:pPr>
              <w:spacing w:after="20"/>
            </w:pPr>
            <w:r>
              <w:rPr>
                <w:rFonts w:ascii="Times New Roman" w:hAnsi="Times New Roman"/>
                <w:b w:val="0"/>
                <w:color w:val="000000"/>
                <w:sz w:val="18"/>
              </w:rPr>
              <w:t>Provide verified ownership and eligibility data through authorized channels.</w:t>
            </w:r>
          </w:p>
        </w:tc>
      </w:tr>
      <w:tr w14:paraId="7B56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F10A523">
            <w:pPr>
              <w:spacing w:after="20"/>
            </w:pPr>
            <w:r>
              <w:rPr>
                <w:rFonts w:ascii="Times New Roman" w:hAnsi="Times New Roman"/>
                <w:b w:val="0"/>
                <w:color w:val="000000"/>
                <w:sz w:val="18"/>
              </w:rPr>
              <w:t>Election administrators</w:t>
            </w:r>
          </w:p>
        </w:tc>
        <w:tc>
          <w:tcPr>
            <w:tcW w:w="4968" w:type="dxa"/>
            <w:vAlign w:val="center"/>
          </w:tcPr>
          <w:p w14:paraId="699CF302">
            <w:pPr>
              <w:spacing w:after="20"/>
            </w:pPr>
            <w:r>
              <w:rPr>
                <w:rFonts w:ascii="Times New Roman" w:hAnsi="Times New Roman"/>
                <w:b w:val="0"/>
                <w:color w:val="000000"/>
                <w:sz w:val="18"/>
              </w:rPr>
              <w:t>Operate the voting session under controlled permissions and documented procedures.</w:t>
            </w:r>
          </w:p>
        </w:tc>
      </w:tr>
      <w:tr w14:paraId="06C9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D5CBBA0">
            <w:pPr>
              <w:spacing w:after="20"/>
            </w:pPr>
            <w:r>
              <w:rPr>
                <w:rFonts w:ascii="Times New Roman" w:hAnsi="Times New Roman"/>
                <w:b w:val="0"/>
                <w:color w:val="000000"/>
                <w:sz w:val="18"/>
              </w:rPr>
              <w:t>Auditors / regulators</w:t>
            </w:r>
          </w:p>
        </w:tc>
        <w:tc>
          <w:tcPr>
            <w:tcW w:w="4968" w:type="dxa"/>
            <w:vAlign w:val="center"/>
          </w:tcPr>
          <w:p w14:paraId="3AEA9B06">
            <w:pPr>
              <w:spacing w:after="20"/>
            </w:pPr>
            <w:r>
              <w:rPr>
                <w:rFonts w:ascii="Times New Roman" w:hAnsi="Times New Roman"/>
                <w:b w:val="0"/>
                <w:color w:val="000000"/>
                <w:sz w:val="18"/>
              </w:rPr>
              <w:t>Review process evidence and applicable compliance records.</w:t>
            </w:r>
          </w:p>
        </w:tc>
      </w:tr>
      <w:tr w14:paraId="474B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521F86B">
            <w:pPr>
              <w:spacing w:after="20"/>
            </w:pPr>
            <w:r>
              <w:rPr>
                <w:rFonts w:ascii="Times New Roman" w:hAnsi="Times New Roman"/>
                <w:b w:val="0"/>
                <w:color w:val="000000"/>
                <w:sz w:val="18"/>
              </w:rPr>
              <w:t>Security and IT teams</w:t>
            </w:r>
          </w:p>
        </w:tc>
        <w:tc>
          <w:tcPr>
            <w:tcW w:w="4968" w:type="dxa"/>
            <w:vAlign w:val="center"/>
          </w:tcPr>
          <w:p w14:paraId="624AE071">
            <w:pPr>
              <w:spacing w:after="20"/>
            </w:pPr>
            <w:r>
              <w:rPr>
                <w:rFonts w:ascii="Times New Roman" w:hAnsi="Times New Roman"/>
                <w:b w:val="0"/>
                <w:color w:val="000000"/>
                <w:sz w:val="18"/>
              </w:rPr>
              <w:t>Protect accounts, infrastructure, keys, integrations and audit logs.</w:t>
            </w:r>
          </w:p>
        </w:tc>
      </w:tr>
    </w:tbl>
    <w:p w14:paraId="58A80DA1"/>
    <w:p w14:paraId="727A7E76">
      <w:pPr>
        <w:pStyle w:val="2"/>
        <w:spacing w:before="160" w:after="80"/>
      </w:pPr>
      <w:r>
        <w:t>7. Existing System</w:t>
      </w:r>
    </w:p>
    <w:p w14:paraId="1051D9D8">
      <w:r>
        <w:t>Current corporate voting may use paper proxies, email-based instructions, third-party proxy platforms or separate shareholder service systems. These approaches can be effective when carefully managed, but shareholders may experience delays, complicated verification steps or limited visibility into how a vote is processed.</w:t>
      </w:r>
    </w:p>
    <w:p w14:paraId="40941D99">
      <w:pPr>
        <w:pStyle w:val="2"/>
        <w:spacing w:before="160" w:after="80"/>
      </w:pPr>
      <w:r>
        <w:t>8. Strengths of the Existing System</w:t>
      </w:r>
    </w:p>
    <w:p w14:paraId="09A27AA5">
      <w:pPr>
        <w:pStyle w:val="23"/>
        <w:spacing w:after="40"/>
      </w:pPr>
      <w:r>
        <w:t>Established corporate procedures and legal rules may already exist.</w:t>
      </w:r>
    </w:p>
    <w:p w14:paraId="10A68532">
      <w:pPr>
        <w:pStyle w:val="23"/>
        <w:spacing w:after="40"/>
      </w:pPr>
      <w:r>
        <w:t>Paper and intermediary-based processes can provide documented records.</w:t>
      </w:r>
    </w:p>
    <w:p w14:paraId="0F429C33">
      <w:pPr>
        <w:pStyle w:val="23"/>
        <w:spacing w:after="40"/>
      </w:pPr>
      <w:r>
        <w:t>Specialist proxy service providers may support large shareholder populations.</w:t>
      </w:r>
    </w:p>
    <w:p w14:paraId="375977A2">
      <w:pPr>
        <w:pStyle w:val="23"/>
        <w:spacing w:after="40"/>
      </w:pPr>
      <w:r>
        <w:t>Human review can resolve exceptional cases and disputes.</w:t>
      </w:r>
    </w:p>
    <w:p w14:paraId="1F235441">
      <w:pPr>
        <w:pStyle w:val="2"/>
        <w:spacing w:before="160" w:after="80"/>
      </w:pPr>
      <w:r>
        <w:t>9. Limitations of the Existing System</w:t>
      </w:r>
    </w:p>
    <w:p w14:paraId="05EBE277">
      <w:pPr>
        <w:pStyle w:val="23"/>
        <w:spacing w:after="40"/>
      </w:pPr>
      <w:r>
        <w:t>Paperwork and manual reconciliation can increase processing time.</w:t>
      </w:r>
    </w:p>
    <w:p w14:paraId="7749329E">
      <w:pPr>
        <w:pStyle w:val="23"/>
        <w:spacing w:after="40"/>
      </w:pPr>
      <w:r>
        <w:t>Shareholders may have difficulty participating remotely.</w:t>
      </w:r>
    </w:p>
    <w:p w14:paraId="6279C11D">
      <w:pPr>
        <w:pStyle w:val="23"/>
        <w:spacing w:after="40"/>
      </w:pPr>
      <w:r>
        <w:t>Disconnected identity, ownership and ballot systems can complicate verification.</w:t>
      </w:r>
    </w:p>
    <w:p w14:paraId="7702D4BF">
      <w:pPr>
        <w:pStyle w:val="23"/>
        <w:spacing w:after="40"/>
      </w:pPr>
      <w:r>
        <w:t>Duplicate submissions and administrative mistakes require careful control.</w:t>
      </w:r>
    </w:p>
    <w:p w14:paraId="486267B9">
      <w:pPr>
        <w:pStyle w:val="23"/>
        <w:spacing w:after="40"/>
      </w:pPr>
      <w:r>
        <w:t>Limited real-time status information can reduce transparency.</w:t>
      </w:r>
    </w:p>
    <w:p w14:paraId="70FFD9FE">
      <w:pPr>
        <w:pStyle w:val="23"/>
        <w:spacing w:after="40"/>
      </w:pPr>
      <w:r>
        <w:t>Privacy and integrity depend on the security of each intermediary and workflow.</w:t>
      </w:r>
    </w:p>
    <w:p w14:paraId="59FD87D6">
      <w:pPr>
        <w:pStyle w:val="2"/>
        <w:spacing w:before="160" w:after="80"/>
      </w:pPr>
      <w:r>
        <w:t>10. Proposed System Overview</w:t>
      </w:r>
    </w:p>
    <w:p w14:paraId="2D49FAC7">
      <w:r>
        <w:t>The proposed engine is a role-controlled web application. An authorized administrator creates a meeting and its resolutions. Eligible shareholder data is checked through an approved registry or brokerage interface. The system issues access to the relevant ballot, records a valid submission while separating identity data from ballot content, and applies share-weighted tally rules. During and after the session, it presents aggregate counts and generates audit evidence for authorized review.</w:t>
      </w:r>
    </w:p>
    <w:p w14:paraId="5CADD176">
      <w:pPr>
        <w:pStyle w:val="2"/>
        <w:spacing w:before="160" w:after="80"/>
      </w:pPr>
      <w:r>
        <w:t>11. Proposed System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ABC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23D84418">
            <w:pPr>
              <w:spacing w:after="20"/>
            </w:pPr>
            <w:r>
              <w:rPr>
                <w:rFonts w:ascii="Times New Roman" w:hAnsi="Times New Roman"/>
                <w:b/>
                <w:color w:val="000000"/>
                <w:sz w:val="18"/>
              </w:rPr>
              <w:t>Layer / module</w:t>
            </w:r>
          </w:p>
        </w:tc>
        <w:tc>
          <w:tcPr>
            <w:tcW w:w="4968" w:type="dxa"/>
            <w:shd w:val="clear" w:color="auto" w:fill="D9EAF7"/>
            <w:vAlign w:val="center"/>
          </w:tcPr>
          <w:p w14:paraId="546E1D7E">
            <w:pPr>
              <w:spacing w:after="20"/>
            </w:pPr>
            <w:r>
              <w:rPr>
                <w:rFonts w:ascii="Times New Roman" w:hAnsi="Times New Roman"/>
                <w:b/>
                <w:color w:val="000000"/>
                <w:sz w:val="18"/>
              </w:rPr>
              <w:t>Purpose</w:t>
            </w:r>
          </w:p>
        </w:tc>
      </w:tr>
      <w:tr w14:paraId="46C1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936DC13">
            <w:pPr>
              <w:spacing w:after="20"/>
            </w:pPr>
            <w:r>
              <w:rPr>
                <w:rFonts w:ascii="Times New Roman" w:hAnsi="Times New Roman"/>
                <w:b w:val="0"/>
                <w:color w:val="000000"/>
                <w:sz w:val="18"/>
              </w:rPr>
              <w:t>User interface</w:t>
            </w:r>
          </w:p>
        </w:tc>
        <w:tc>
          <w:tcPr>
            <w:tcW w:w="4968" w:type="dxa"/>
            <w:vAlign w:val="center"/>
          </w:tcPr>
          <w:p w14:paraId="79C83608">
            <w:pPr>
              <w:spacing w:after="20"/>
            </w:pPr>
            <w:r>
              <w:rPr>
                <w:rFonts w:ascii="Times New Roman" w:hAnsi="Times New Roman"/>
                <w:b w:val="0"/>
                <w:color w:val="000000"/>
                <w:sz w:val="18"/>
              </w:rPr>
              <w:t>Accessible shareholder portal and administrator console.</w:t>
            </w:r>
          </w:p>
        </w:tc>
      </w:tr>
      <w:tr w14:paraId="3FD8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14F6640">
            <w:pPr>
              <w:spacing w:after="20"/>
            </w:pPr>
            <w:r>
              <w:rPr>
                <w:rFonts w:ascii="Times New Roman" w:hAnsi="Times New Roman"/>
                <w:b w:val="0"/>
                <w:color w:val="000000"/>
                <w:sz w:val="18"/>
              </w:rPr>
              <w:t>Identity and eligibility service</w:t>
            </w:r>
          </w:p>
        </w:tc>
        <w:tc>
          <w:tcPr>
            <w:tcW w:w="4968" w:type="dxa"/>
            <w:vAlign w:val="center"/>
          </w:tcPr>
          <w:p w14:paraId="610695E2">
            <w:pPr>
              <w:spacing w:after="20"/>
            </w:pPr>
            <w:r>
              <w:rPr>
                <w:rFonts w:ascii="Times New Roman" w:hAnsi="Times New Roman"/>
                <w:b w:val="0"/>
                <w:color w:val="000000"/>
                <w:sz w:val="18"/>
              </w:rPr>
              <w:t>Authenticates users and checks verified voting entitlement.</w:t>
            </w:r>
          </w:p>
        </w:tc>
      </w:tr>
      <w:tr w14:paraId="7A20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0F9134F">
            <w:pPr>
              <w:spacing w:after="20"/>
            </w:pPr>
            <w:r>
              <w:rPr>
                <w:rFonts w:ascii="Times New Roman" w:hAnsi="Times New Roman"/>
                <w:b w:val="0"/>
                <w:color w:val="000000"/>
                <w:sz w:val="18"/>
              </w:rPr>
              <w:t>Ownership integration</w:t>
            </w:r>
          </w:p>
        </w:tc>
        <w:tc>
          <w:tcPr>
            <w:tcW w:w="4968" w:type="dxa"/>
            <w:vAlign w:val="center"/>
          </w:tcPr>
          <w:p w14:paraId="61B20890">
            <w:pPr>
              <w:spacing w:after="20"/>
            </w:pPr>
            <w:r>
              <w:rPr>
                <w:rFonts w:ascii="Times New Roman" w:hAnsi="Times New Roman"/>
                <w:b w:val="0"/>
                <w:color w:val="000000"/>
                <w:sz w:val="18"/>
              </w:rPr>
              <w:t>Receives authorized shareholding data and records the applicable voting weight.</w:t>
            </w:r>
          </w:p>
        </w:tc>
      </w:tr>
      <w:tr w14:paraId="0A83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CA87058">
            <w:pPr>
              <w:spacing w:after="20"/>
            </w:pPr>
            <w:r>
              <w:rPr>
                <w:rFonts w:ascii="Times New Roman" w:hAnsi="Times New Roman"/>
                <w:b w:val="0"/>
                <w:color w:val="000000"/>
                <w:sz w:val="18"/>
              </w:rPr>
              <w:t>Ballot service</w:t>
            </w:r>
          </w:p>
        </w:tc>
        <w:tc>
          <w:tcPr>
            <w:tcW w:w="4968" w:type="dxa"/>
            <w:vAlign w:val="center"/>
          </w:tcPr>
          <w:p w14:paraId="6EE4EA47">
            <w:pPr>
              <w:spacing w:after="20"/>
            </w:pPr>
            <w:r>
              <w:rPr>
                <w:rFonts w:ascii="Times New Roman" w:hAnsi="Times New Roman"/>
                <w:b w:val="0"/>
                <w:color w:val="000000"/>
                <w:sz w:val="18"/>
              </w:rPr>
              <w:t>Creates ballots, enforces session windows and prevents repeated valid submissions.</w:t>
            </w:r>
          </w:p>
        </w:tc>
      </w:tr>
      <w:tr w14:paraId="5325E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413F566">
            <w:pPr>
              <w:spacing w:after="20"/>
            </w:pPr>
            <w:r>
              <w:rPr>
                <w:rFonts w:ascii="Times New Roman" w:hAnsi="Times New Roman"/>
                <w:b w:val="0"/>
                <w:color w:val="000000"/>
                <w:sz w:val="18"/>
              </w:rPr>
              <w:t>Privacy and cryptography layer</w:t>
            </w:r>
          </w:p>
        </w:tc>
        <w:tc>
          <w:tcPr>
            <w:tcW w:w="4968" w:type="dxa"/>
            <w:vAlign w:val="center"/>
          </w:tcPr>
          <w:p w14:paraId="7B9FA178">
            <w:pPr>
              <w:spacing w:after="20"/>
            </w:pPr>
            <w:r>
              <w:rPr>
                <w:rFonts w:ascii="Times New Roman" w:hAnsi="Times New Roman"/>
                <w:b w:val="0"/>
                <w:color w:val="000000"/>
                <w:sz w:val="18"/>
              </w:rPr>
              <w:t>Protects ballot confidentiality and supports integrity verification.</w:t>
            </w:r>
          </w:p>
        </w:tc>
      </w:tr>
      <w:tr w14:paraId="0138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8497CA4">
            <w:pPr>
              <w:spacing w:after="20"/>
            </w:pPr>
            <w:r>
              <w:rPr>
                <w:rFonts w:ascii="Times New Roman" w:hAnsi="Times New Roman"/>
                <w:b w:val="0"/>
                <w:color w:val="000000"/>
                <w:sz w:val="18"/>
              </w:rPr>
              <w:t>Tally engine</w:t>
            </w:r>
          </w:p>
        </w:tc>
        <w:tc>
          <w:tcPr>
            <w:tcW w:w="4968" w:type="dxa"/>
            <w:vAlign w:val="center"/>
          </w:tcPr>
          <w:p w14:paraId="59FC1B98">
            <w:pPr>
              <w:spacing w:after="20"/>
            </w:pPr>
            <w:r>
              <w:rPr>
                <w:rFonts w:ascii="Times New Roman" w:hAnsi="Times New Roman"/>
                <w:b w:val="0"/>
                <w:color w:val="000000"/>
                <w:sz w:val="18"/>
              </w:rPr>
              <w:t>Calculates aggregate share-weighted totals under documented rules.</w:t>
            </w:r>
          </w:p>
        </w:tc>
      </w:tr>
      <w:tr w14:paraId="5E3FC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F5CFBDC">
            <w:pPr>
              <w:spacing w:after="20"/>
            </w:pPr>
            <w:r>
              <w:rPr>
                <w:rFonts w:ascii="Times New Roman" w:hAnsi="Times New Roman"/>
                <w:b w:val="0"/>
                <w:color w:val="000000"/>
                <w:sz w:val="18"/>
              </w:rPr>
              <w:t>Audit and reporting</w:t>
            </w:r>
          </w:p>
        </w:tc>
        <w:tc>
          <w:tcPr>
            <w:tcW w:w="4968" w:type="dxa"/>
            <w:vAlign w:val="center"/>
          </w:tcPr>
          <w:p w14:paraId="066AECDC">
            <w:pPr>
              <w:spacing w:after="20"/>
            </w:pPr>
            <w:r>
              <w:rPr>
                <w:rFonts w:ascii="Times New Roman" w:hAnsi="Times New Roman"/>
                <w:b w:val="0"/>
                <w:color w:val="000000"/>
                <w:sz w:val="18"/>
              </w:rPr>
              <w:t>Records administrative events and creates reports without exposing individual choices.</w:t>
            </w:r>
          </w:p>
        </w:tc>
      </w:tr>
    </w:tbl>
    <w:p w14:paraId="1CCAD239"/>
    <w:p w14:paraId="0C38459C">
      <w:pPr>
        <w:pStyle w:val="2"/>
        <w:spacing w:before="160" w:after="80"/>
      </w:pPr>
      <w:r>
        <w:t>12. Major Functional Modules</w:t>
      </w:r>
    </w:p>
    <w:p w14:paraId="4668D48A">
      <w:pPr>
        <w:pStyle w:val="3"/>
        <w:spacing w:before="160" w:after="80"/>
      </w:pPr>
      <w:r>
        <w:t>12.1 Shareholder Management</w:t>
      </w:r>
    </w:p>
    <w:p w14:paraId="64C92441">
      <w:r>
        <w:t>Maintains approved shareholder records and links each eligible account to a verified voting entitlement.</w:t>
      </w:r>
    </w:p>
    <w:p w14:paraId="3AE3589C">
      <w:pPr>
        <w:pStyle w:val="3"/>
        <w:spacing w:before="160" w:after="80"/>
      </w:pPr>
      <w:r>
        <w:t>12.2 Ownership Verification</w:t>
      </w:r>
    </w:p>
    <w:p w14:paraId="43FE16AD">
      <w:r>
        <w:t>Checks ownership through approved brokerage or shareholder-register interfaces; a prototype may use simulated records.</w:t>
      </w:r>
    </w:p>
    <w:p w14:paraId="2FABDBA4">
      <w:pPr>
        <w:pStyle w:val="3"/>
        <w:spacing w:before="160" w:after="80"/>
      </w:pPr>
      <w:r>
        <w:t>12.3 Meeting and Ballot Management</w:t>
      </w:r>
    </w:p>
    <w:p w14:paraId="036C2F75">
      <w:r>
        <w:t>Allows authorized staff to configure resolutions, voting options, opening and closing times, and eligibility rules.</w:t>
      </w:r>
    </w:p>
    <w:p w14:paraId="022E88E2">
      <w:pPr>
        <w:pStyle w:val="3"/>
        <w:spacing w:before="160" w:after="80"/>
      </w:pPr>
      <w:r>
        <w:t>12.4 Secure Voting</w:t>
      </w:r>
    </w:p>
    <w:p w14:paraId="01E12545">
      <w:r>
        <w:t>Accepts ballot submissions only during the permitted period and prevents duplicate valid submissions for the same entitlement.</w:t>
      </w:r>
    </w:p>
    <w:p w14:paraId="7517A102">
      <w:pPr>
        <w:pStyle w:val="3"/>
        <w:spacing w:before="160" w:after="80"/>
      </w:pPr>
      <w:r>
        <w:t>12.5 Privacy Protection</w:t>
      </w:r>
    </w:p>
    <w:p w14:paraId="1380A231">
      <w:r>
        <w:t>Separates identity from ballot choices and applies reviewed cryptographic methods to limit disclosure.</w:t>
      </w:r>
    </w:p>
    <w:p w14:paraId="4C886BA1">
      <w:pPr>
        <w:pStyle w:val="3"/>
        <w:spacing w:before="160" w:after="80"/>
      </w:pPr>
      <w:r>
        <w:t>12.6 Share-Weighted Tally</w:t>
      </w:r>
    </w:p>
    <w:p w14:paraId="47D6D711">
      <w:r>
        <w:t>Multiplies each valid voting choice by its verified voting weight and aggregates totals according to the meeting rules.</w:t>
      </w:r>
    </w:p>
    <w:p w14:paraId="316F2482">
      <w:pPr>
        <w:pStyle w:val="3"/>
        <w:spacing w:before="160" w:after="80"/>
      </w:pPr>
      <w:r>
        <w:t>12.7 Audit and Compliance Reporting</w:t>
      </w:r>
    </w:p>
    <w:p w14:paraId="4322EC73">
      <w:r>
        <w:t>Produces access records, session events, reconciliation summaries and aggregate results for authorized review.</w:t>
      </w:r>
    </w:p>
    <w:p w14:paraId="3393DADE">
      <w:pPr>
        <w:pStyle w:val="2"/>
        <w:spacing w:before="160" w:after="80"/>
      </w:pPr>
      <w:r>
        <w:t>13. Functional Requirements</w:t>
      </w:r>
    </w:p>
    <w:p w14:paraId="5A9CBB29">
      <w:pPr>
        <w:pStyle w:val="29"/>
        <w:spacing w:after="40"/>
      </w:pPr>
      <w:r>
        <w:t>The system shall authenticate shareholders and authorized administrators.</w:t>
      </w:r>
    </w:p>
    <w:p w14:paraId="13D6ABF5">
      <w:pPr>
        <w:pStyle w:val="29"/>
        <w:spacing w:after="40"/>
      </w:pPr>
      <w:r>
        <w:t>It shall retrieve or validate voting eligibility using approved ownership records.</w:t>
      </w:r>
    </w:p>
    <w:p w14:paraId="5699CECA">
      <w:pPr>
        <w:pStyle w:val="29"/>
        <w:spacing w:after="40"/>
      </w:pPr>
      <w:r>
        <w:t>It shall create meetings, resolutions, ballot choices and voting windows.</w:t>
      </w:r>
    </w:p>
    <w:p w14:paraId="367F1108">
      <w:pPr>
        <w:pStyle w:val="29"/>
        <w:spacing w:after="40"/>
      </w:pPr>
      <w:r>
        <w:t>It shall issue ballots only to eligible voting entitlements.</w:t>
      </w:r>
    </w:p>
    <w:p w14:paraId="22F38DA4">
      <w:pPr>
        <w:pStyle w:val="29"/>
        <w:spacing w:after="40"/>
      </w:pPr>
      <w:r>
        <w:t>It shall reject voting attempts outside the voting window.</w:t>
      </w:r>
    </w:p>
    <w:p w14:paraId="7BC2F918">
      <w:pPr>
        <w:pStyle w:val="29"/>
        <w:spacing w:after="40"/>
      </w:pPr>
      <w:r>
        <w:t>It shall prevent more than one accepted vote for the same entitlement under the defined rules.</w:t>
      </w:r>
    </w:p>
    <w:p w14:paraId="36782032">
      <w:pPr>
        <w:pStyle w:val="29"/>
        <w:spacing w:after="40"/>
      </w:pPr>
      <w:r>
        <w:t>It shall calculate aggregate totals using verified share-weight values.</w:t>
      </w:r>
    </w:p>
    <w:p w14:paraId="129D668E">
      <w:pPr>
        <w:pStyle w:val="29"/>
        <w:spacing w:after="40"/>
      </w:pPr>
      <w:r>
        <w:t>It shall provide authorized users with aggregate results and audit reports.</w:t>
      </w:r>
    </w:p>
    <w:p w14:paraId="4A91CE09">
      <w:pPr>
        <w:pStyle w:val="29"/>
        <w:spacing w:after="40"/>
      </w:pPr>
      <w:r>
        <w:t>It shall log administrative actions and relevant system events.</w:t>
      </w:r>
    </w:p>
    <w:p w14:paraId="38D852A9">
      <w:pPr>
        <w:pStyle w:val="29"/>
        <w:spacing w:after="40"/>
      </w:pPr>
      <w:r>
        <w:t>It shall support correction or dispute procedures under documented governance rules.</w:t>
      </w:r>
    </w:p>
    <w:p w14:paraId="1344623C">
      <w:pPr>
        <w:pStyle w:val="2"/>
        <w:spacing w:before="160" w:after="80"/>
      </w:pPr>
      <w:r>
        <w:t>14.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3FC2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56DC019D">
            <w:pPr>
              <w:spacing w:after="20"/>
            </w:pPr>
            <w:r>
              <w:rPr>
                <w:rFonts w:ascii="Times New Roman" w:hAnsi="Times New Roman"/>
                <w:b/>
                <w:color w:val="000000"/>
                <w:sz w:val="18"/>
              </w:rPr>
              <w:t>Requirement</w:t>
            </w:r>
          </w:p>
        </w:tc>
        <w:tc>
          <w:tcPr>
            <w:tcW w:w="4968" w:type="dxa"/>
            <w:shd w:val="clear" w:color="auto" w:fill="D9EAF7"/>
            <w:vAlign w:val="center"/>
          </w:tcPr>
          <w:p w14:paraId="75257EA7">
            <w:pPr>
              <w:spacing w:after="20"/>
            </w:pPr>
            <w:r>
              <w:rPr>
                <w:rFonts w:ascii="Times New Roman" w:hAnsi="Times New Roman"/>
                <w:b/>
                <w:color w:val="000000"/>
                <w:sz w:val="18"/>
              </w:rPr>
              <w:t>Description</w:t>
            </w:r>
          </w:p>
        </w:tc>
      </w:tr>
      <w:tr w14:paraId="6107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EB78BF8">
            <w:pPr>
              <w:spacing w:after="20"/>
            </w:pPr>
            <w:r>
              <w:rPr>
                <w:rFonts w:ascii="Times New Roman" w:hAnsi="Times New Roman"/>
                <w:b w:val="0"/>
                <w:color w:val="000000"/>
                <w:sz w:val="18"/>
              </w:rPr>
              <w:t>Security</w:t>
            </w:r>
          </w:p>
        </w:tc>
        <w:tc>
          <w:tcPr>
            <w:tcW w:w="4968" w:type="dxa"/>
            <w:vAlign w:val="center"/>
          </w:tcPr>
          <w:p w14:paraId="721EF132">
            <w:pPr>
              <w:spacing w:after="20"/>
            </w:pPr>
            <w:r>
              <w:rPr>
                <w:rFonts w:ascii="Times New Roman" w:hAnsi="Times New Roman"/>
                <w:b w:val="0"/>
                <w:color w:val="000000"/>
                <w:sz w:val="18"/>
              </w:rPr>
              <w:t>Protect accounts, interfaces, keys and records against unauthorized access.</w:t>
            </w:r>
          </w:p>
        </w:tc>
      </w:tr>
      <w:tr w14:paraId="3689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2046CA8">
            <w:pPr>
              <w:spacing w:after="20"/>
            </w:pPr>
            <w:r>
              <w:rPr>
                <w:rFonts w:ascii="Times New Roman" w:hAnsi="Times New Roman"/>
                <w:b w:val="0"/>
                <w:color w:val="000000"/>
                <w:sz w:val="18"/>
              </w:rPr>
              <w:t>Privacy</w:t>
            </w:r>
          </w:p>
        </w:tc>
        <w:tc>
          <w:tcPr>
            <w:tcW w:w="4968" w:type="dxa"/>
            <w:vAlign w:val="center"/>
          </w:tcPr>
          <w:p w14:paraId="0052A021">
            <w:pPr>
              <w:spacing w:after="20"/>
            </w:pPr>
            <w:r>
              <w:rPr>
                <w:rFonts w:ascii="Times New Roman" w:hAnsi="Times New Roman"/>
                <w:b w:val="0"/>
                <w:color w:val="000000"/>
                <w:sz w:val="18"/>
              </w:rPr>
              <w:t>Prevent routine reports from linking individual identities to ballot choices.</w:t>
            </w:r>
          </w:p>
        </w:tc>
      </w:tr>
      <w:tr w14:paraId="5E4C3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EAADDF5">
            <w:pPr>
              <w:spacing w:after="20"/>
            </w:pPr>
            <w:r>
              <w:rPr>
                <w:rFonts w:ascii="Times New Roman" w:hAnsi="Times New Roman"/>
                <w:b w:val="0"/>
                <w:color w:val="000000"/>
                <w:sz w:val="18"/>
              </w:rPr>
              <w:t>Integrity</w:t>
            </w:r>
          </w:p>
        </w:tc>
        <w:tc>
          <w:tcPr>
            <w:tcW w:w="4968" w:type="dxa"/>
            <w:vAlign w:val="center"/>
          </w:tcPr>
          <w:p w14:paraId="3C853382">
            <w:pPr>
              <w:spacing w:after="20"/>
            </w:pPr>
            <w:r>
              <w:rPr>
                <w:rFonts w:ascii="Times New Roman" w:hAnsi="Times New Roman"/>
                <w:b w:val="0"/>
                <w:color w:val="000000"/>
                <w:sz w:val="18"/>
              </w:rPr>
              <w:t>Detect unauthorized changes and preserve ballot and tally consistency.</w:t>
            </w:r>
          </w:p>
        </w:tc>
      </w:tr>
      <w:tr w14:paraId="0FDF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C431E41">
            <w:pPr>
              <w:spacing w:after="20"/>
            </w:pPr>
            <w:r>
              <w:rPr>
                <w:rFonts w:ascii="Times New Roman" w:hAnsi="Times New Roman"/>
                <w:b w:val="0"/>
                <w:color w:val="000000"/>
                <w:sz w:val="18"/>
              </w:rPr>
              <w:t>Availability</w:t>
            </w:r>
          </w:p>
        </w:tc>
        <w:tc>
          <w:tcPr>
            <w:tcW w:w="4968" w:type="dxa"/>
            <w:vAlign w:val="center"/>
          </w:tcPr>
          <w:p w14:paraId="1207A42A">
            <w:pPr>
              <w:spacing w:after="20"/>
            </w:pPr>
            <w:r>
              <w:rPr>
                <w:rFonts w:ascii="Times New Roman" w:hAnsi="Times New Roman"/>
                <w:b w:val="0"/>
                <w:color w:val="000000"/>
                <w:sz w:val="18"/>
              </w:rPr>
              <w:t>Keep voting accessible during the approved session and recover safely from failures.</w:t>
            </w:r>
          </w:p>
        </w:tc>
      </w:tr>
      <w:tr w14:paraId="38CC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9A3CFDA">
            <w:pPr>
              <w:spacing w:after="20"/>
            </w:pPr>
            <w:r>
              <w:rPr>
                <w:rFonts w:ascii="Times New Roman" w:hAnsi="Times New Roman"/>
                <w:b w:val="0"/>
                <w:color w:val="000000"/>
                <w:sz w:val="18"/>
              </w:rPr>
              <w:t>Scalability</w:t>
            </w:r>
          </w:p>
        </w:tc>
        <w:tc>
          <w:tcPr>
            <w:tcW w:w="4968" w:type="dxa"/>
            <w:vAlign w:val="center"/>
          </w:tcPr>
          <w:p w14:paraId="6F787A2A">
            <w:pPr>
              <w:spacing w:after="20"/>
            </w:pPr>
            <w:r>
              <w:rPr>
                <w:rFonts w:ascii="Times New Roman" w:hAnsi="Times New Roman"/>
                <w:b w:val="0"/>
                <w:color w:val="000000"/>
                <w:sz w:val="18"/>
              </w:rPr>
              <w:t>Support large numbers of eligible shareholders and simultaneous sessions.</w:t>
            </w:r>
          </w:p>
        </w:tc>
      </w:tr>
      <w:tr w14:paraId="1031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B63ADB6">
            <w:pPr>
              <w:spacing w:after="20"/>
            </w:pPr>
            <w:r>
              <w:rPr>
                <w:rFonts w:ascii="Times New Roman" w:hAnsi="Times New Roman"/>
                <w:b w:val="0"/>
                <w:color w:val="000000"/>
                <w:sz w:val="18"/>
              </w:rPr>
              <w:t>Usability</w:t>
            </w:r>
          </w:p>
        </w:tc>
        <w:tc>
          <w:tcPr>
            <w:tcW w:w="4968" w:type="dxa"/>
            <w:vAlign w:val="center"/>
          </w:tcPr>
          <w:p w14:paraId="3B74622F">
            <w:pPr>
              <w:spacing w:after="20"/>
            </w:pPr>
            <w:r>
              <w:rPr>
                <w:rFonts w:ascii="Times New Roman" w:hAnsi="Times New Roman"/>
                <w:b w:val="0"/>
                <w:color w:val="000000"/>
                <w:sz w:val="18"/>
              </w:rPr>
              <w:t>Provide clear instructions, accessible controls and confirmation of accepted submission.</w:t>
            </w:r>
          </w:p>
        </w:tc>
      </w:tr>
      <w:tr w14:paraId="1B66A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FF1CF49">
            <w:pPr>
              <w:spacing w:after="20"/>
            </w:pPr>
            <w:r>
              <w:rPr>
                <w:rFonts w:ascii="Times New Roman" w:hAnsi="Times New Roman"/>
                <w:b w:val="0"/>
                <w:color w:val="000000"/>
                <w:sz w:val="18"/>
              </w:rPr>
              <w:t>Auditability</w:t>
            </w:r>
          </w:p>
        </w:tc>
        <w:tc>
          <w:tcPr>
            <w:tcW w:w="4968" w:type="dxa"/>
            <w:vAlign w:val="center"/>
          </w:tcPr>
          <w:p w14:paraId="749D9CE3">
            <w:pPr>
              <w:spacing w:after="20"/>
            </w:pPr>
            <w:r>
              <w:rPr>
                <w:rFonts w:ascii="Times New Roman" w:hAnsi="Times New Roman"/>
                <w:b w:val="0"/>
                <w:color w:val="000000"/>
                <w:sz w:val="18"/>
              </w:rPr>
              <w:t>Maintain traceable records for authorized independent review.</w:t>
            </w:r>
          </w:p>
        </w:tc>
      </w:tr>
      <w:tr w14:paraId="7403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B5915A9">
            <w:pPr>
              <w:spacing w:after="20"/>
            </w:pPr>
            <w:r>
              <w:rPr>
                <w:rFonts w:ascii="Times New Roman" w:hAnsi="Times New Roman"/>
                <w:b w:val="0"/>
                <w:color w:val="000000"/>
                <w:sz w:val="18"/>
              </w:rPr>
              <w:t>Interoperability</w:t>
            </w:r>
          </w:p>
        </w:tc>
        <w:tc>
          <w:tcPr>
            <w:tcW w:w="4968" w:type="dxa"/>
            <w:vAlign w:val="center"/>
          </w:tcPr>
          <w:p w14:paraId="530BFC66">
            <w:pPr>
              <w:spacing w:after="20"/>
            </w:pPr>
            <w:r>
              <w:rPr>
                <w:rFonts w:ascii="Times New Roman" w:hAnsi="Times New Roman"/>
                <w:b w:val="0"/>
                <w:color w:val="000000"/>
                <w:sz w:val="18"/>
              </w:rPr>
              <w:t>Use controlled interfaces to exchange ownership and meeting data.</w:t>
            </w:r>
          </w:p>
        </w:tc>
      </w:tr>
    </w:tbl>
    <w:p w14:paraId="664F0361"/>
    <w:p w14:paraId="7DF5D57B">
      <w:pPr>
        <w:pStyle w:val="2"/>
        <w:spacing w:before="160" w:after="80"/>
      </w:pPr>
      <w:r>
        <w:t>15. Application of Software Engineering Principles</w:t>
      </w:r>
    </w:p>
    <w:p w14:paraId="539A45FF">
      <w:pPr>
        <w:pStyle w:val="23"/>
        <w:spacing w:after="40"/>
      </w:pPr>
      <w:r>
        <w:t>Modularity: identity, ownership, ballot, tally and reporting functions are separated.</w:t>
      </w:r>
    </w:p>
    <w:p w14:paraId="3A05FA00">
      <w:pPr>
        <w:pStyle w:val="23"/>
        <w:spacing w:after="40"/>
      </w:pPr>
      <w:r>
        <w:t>Least privilege: users receive only the permissions required for their roles.</w:t>
      </w:r>
    </w:p>
    <w:p w14:paraId="7CC66B1E">
      <w:pPr>
        <w:pStyle w:val="23"/>
        <w:spacing w:after="40"/>
      </w:pPr>
      <w:r>
        <w:t>Data minimization: only necessary personal and ownership data is processed.</w:t>
      </w:r>
    </w:p>
    <w:p w14:paraId="7CD8061C">
      <w:pPr>
        <w:pStyle w:val="23"/>
        <w:spacing w:after="40"/>
      </w:pPr>
      <w:r>
        <w:t>Reliability: validation, controlled retries, backups and recovery procedures reduce failures.</w:t>
      </w:r>
    </w:p>
    <w:p w14:paraId="3753CE19">
      <w:pPr>
        <w:pStyle w:val="23"/>
        <w:spacing w:after="40"/>
      </w:pPr>
      <w:r>
        <w:t>Maintainability: documented interfaces, version control and automated tests support safe updates.</w:t>
      </w:r>
    </w:p>
    <w:p w14:paraId="343F8F8D">
      <w:pPr>
        <w:pStyle w:val="23"/>
        <w:spacing w:after="40"/>
      </w:pPr>
      <w:r>
        <w:t>Testability: unit, integration, privacy, security and end-to-end tests verify behavior.</w:t>
      </w:r>
    </w:p>
    <w:p w14:paraId="21EE224A">
      <w:pPr>
        <w:pStyle w:val="2"/>
        <w:spacing w:before="160" w:after="80"/>
      </w:pPr>
      <w:r>
        <w:t>16. Selected SDLC Model</w:t>
      </w:r>
    </w:p>
    <w:p w14:paraId="4C1664B2">
      <w:r>
        <w:t>An iterative Agile approach is suitable because identity integrations, privacy requirements and governance rules may need review by multiple stakeholders. Work can be divided into increments: eligibility and meeting setup, ballot workflow, tallying, audit reports and security hardening. Each increment should be reviewed and tested before being accepted.</w:t>
      </w:r>
    </w:p>
    <w:p w14:paraId="28A2EFE1">
      <w:pPr>
        <w:pStyle w:val="2"/>
        <w:spacing w:before="160" w:after="80"/>
      </w:pPr>
      <w:r>
        <w:t>17. Testing and Validation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3F1D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4160559E">
            <w:pPr>
              <w:spacing w:after="20"/>
            </w:pPr>
            <w:r>
              <w:rPr>
                <w:rFonts w:ascii="Times New Roman" w:hAnsi="Times New Roman"/>
                <w:b/>
                <w:color w:val="000000"/>
                <w:sz w:val="18"/>
              </w:rPr>
              <w:t>Test case</w:t>
            </w:r>
          </w:p>
        </w:tc>
        <w:tc>
          <w:tcPr>
            <w:tcW w:w="4968" w:type="dxa"/>
            <w:shd w:val="clear" w:color="auto" w:fill="D9EAF7"/>
            <w:vAlign w:val="center"/>
          </w:tcPr>
          <w:p w14:paraId="4CE69A45">
            <w:pPr>
              <w:spacing w:after="20"/>
            </w:pPr>
            <w:r>
              <w:rPr>
                <w:rFonts w:ascii="Times New Roman" w:hAnsi="Times New Roman"/>
                <w:b/>
                <w:color w:val="000000"/>
                <w:sz w:val="18"/>
              </w:rPr>
              <w:t>Expected result</w:t>
            </w:r>
          </w:p>
        </w:tc>
      </w:tr>
      <w:tr w14:paraId="1BB1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BF7FA7F">
            <w:pPr>
              <w:spacing w:after="20"/>
            </w:pPr>
            <w:r>
              <w:rPr>
                <w:rFonts w:ascii="Times New Roman" w:hAnsi="Times New Roman"/>
                <w:b w:val="0"/>
                <w:color w:val="000000"/>
                <w:sz w:val="18"/>
              </w:rPr>
              <w:t>Attempt access with an unverified account</w:t>
            </w:r>
          </w:p>
        </w:tc>
        <w:tc>
          <w:tcPr>
            <w:tcW w:w="4968" w:type="dxa"/>
            <w:vAlign w:val="center"/>
          </w:tcPr>
          <w:p w14:paraId="4B7A5D81">
            <w:pPr>
              <w:spacing w:after="20"/>
            </w:pPr>
            <w:r>
              <w:rPr>
                <w:rFonts w:ascii="Times New Roman" w:hAnsi="Times New Roman"/>
                <w:b w:val="0"/>
                <w:color w:val="000000"/>
                <w:sz w:val="18"/>
              </w:rPr>
              <w:t>Access to the ballot is denied.</w:t>
            </w:r>
          </w:p>
        </w:tc>
      </w:tr>
      <w:tr w14:paraId="54B14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5C21C25">
            <w:pPr>
              <w:spacing w:after="20"/>
            </w:pPr>
            <w:r>
              <w:rPr>
                <w:rFonts w:ascii="Times New Roman" w:hAnsi="Times New Roman"/>
                <w:b w:val="0"/>
                <w:color w:val="000000"/>
                <w:sz w:val="18"/>
              </w:rPr>
              <w:t>Submit a vote before the session opens</w:t>
            </w:r>
          </w:p>
        </w:tc>
        <w:tc>
          <w:tcPr>
            <w:tcW w:w="4968" w:type="dxa"/>
            <w:vAlign w:val="center"/>
          </w:tcPr>
          <w:p w14:paraId="1442FC86">
            <w:pPr>
              <w:spacing w:after="20"/>
            </w:pPr>
            <w:r>
              <w:rPr>
                <w:rFonts w:ascii="Times New Roman" w:hAnsi="Times New Roman"/>
                <w:b w:val="0"/>
                <w:color w:val="000000"/>
                <w:sz w:val="18"/>
              </w:rPr>
              <w:t>The system rejects the submission.</w:t>
            </w:r>
          </w:p>
        </w:tc>
      </w:tr>
      <w:tr w14:paraId="6A62D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C62ADFF">
            <w:pPr>
              <w:spacing w:after="20"/>
            </w:pPr>
            <w:r>
              <w:rPr>
                <w:rFonts w:ascii="Times New Roman" w:hAnsi="Times New Roman"/>
                <w:b w:val="0"/>
                <w:color w:val="000000"/>
                <w:sz w:val="18"/>
              </w:rPr>
              <w:t>Submit a vote after the session closes</w:t>
            </w:r>
          </w:p>
        </w:tc>
        <w:tc>
          <w:tcPr>
            <w:tcW w:w="4968" w:type="dxa"/>
            <w:vAlign w:val="center"/>
          </w:tcPr>
          <w:p w14:paraId="4D6CE71F">
            <w:pPr>
              <w:spacing w:after="20"/>
            </w:pPr>
            <w:r>
              <w:rPr>
                <w:rFonts w:ascii="Times New Roman" w:hAnsi="Times New Roman"/>
                <w:b w:val="0"/>
                <w:color w:val="000000"/>
                <w:sz w:val="18"/>
              </w:rPr>
              <w:t>The system rejects the submission.</w:t>
            </w:r>
          </w:p>
        </w:tc>
      </w:tr>
      <w:tr w14:paraId="4FDB4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A830A21">
            <w:pPr>
              <w:spacing w:after="20"/>
            </w:pPr>
            <w:r>
              <w:rPr>
                <w:rFonts w:ascii="Times New Roman" w:hAnsi="Times New Roman"/>
                <w:b w:val="0"/>
                <w:color w:val="000000"/>
                <w:sz w:val="18"/>
              </w:rPr>
              <w:t>Submit a second vote for the same entitlement</w:t>
            </w:r>
          </w:p>
        </w:tc>
        <w:tc>
          <w:tcPr>
            <w:tcW w:w="4968" w:type="dxa"/>
            <w:vAlign w:val="center"/>
          </w:tcPr>
          <w:p w14:paraId="6D09FFFA">
            <w:pPr>
              <w:spacing w:after="20"/>
            </w:pPr>
            <w:r>
              <w:rPr>
                <w:rFonts w:ascii="Times New Roman" w:hAnsi="Times New Roman"/>
                <w:b w:val="0"/>
                <w:color w:val="000000"/>
                <w:sz w:val="18"/>
              </w:rPr>
              <w:t>Duplicate submission is blocked or handled according to documented rules.</w:t>
            </w:r>
          </w:p>
        </w:tc>
      </w:tr>
      <w:tr w14:paraId="38216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D2B43A1">
            <w:pPr>
              <w:spacing w:after="20"/>
            </w:pPr>
            <w:r>
              <w:rPr>
                <w:rFonts w:ascii="Times New Roman" w:hAnsi="Times New Roman"/>
                <w:b w:val="0"/>
                <w:color w:val="000000"/>
                <w:sz w:val="18"/>
              </w:rPr>
              <w:t>Use an invalid ownership weight</w:t>
            </w:r>
          </w:p>
        </w:tc>
        <w:tc>
          <w:tcPr>
            <w:tcW w:w="4968" w:type="dxa"/>
            <w:vAlign w:val="center"/>
          </w:tcPr>
          <w:p w14:paraId="2EC55D6D">
            <w:pPr>
              <w:spacing w:after="20"/>
            </w:pPr>
            <w:r>
              <w:rPr>
                <w:rFonts w:ascii="Times New Roman" w:hAnsi="Times New Roman"/>
                <w:b w:val="0"/>
                <w:color w:val="000000"/>
                <w:sz w:val="18"/>
              </w:rPr>
              <w:t>Eligibility or tally validation flags the record.</w:t>
            </w:r>
          </w:p>
        </w:tc>
      </w:tr>
      <w:tr w14:paraId="2F3A9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64EA6C9">
            <w:pPr>
              <w:spacing w:after="20"/>
            </w:pPr>
            <w:r>
              <w:rPr>
                <w:rFonts w:ascii="Times New Roman" w:hAnsi="Times New Roman"/>
                <w:b w:val="0"/>
                <w:color w:val="000000"/>
                <w:sz w:val="18"/>
              </w:rPr>
              <w:t>Change a ballot record without authorization</w:t>
            </w:r>
          </w:p>
        </w:tc>
        <w:tc>
          <w:tcPr>
            <w:tcW w:w="4968" w:type="dxa"/>
            <w:vAlign w:val="center"/>
          </w:tcPr>
          <w:p w14:paraId="22547040">
            <w:pPr>
              <w:spacing w:after="20"/>
            </w:pPr>
            <w:r>
              <w:rPr>
                <w:rFonts w:ascii="Times New Roman" w:hAnsi="Times New Roman"/>
                <w:b w:val="0"/>
                <w:color w:val="000000"/>
                <w:sz w:val="18"/>
              </w:rPr>
              <w:t>Integrity controls detect or prevent the change.</w:t>
            </w:r>
          </w:p>
        </w:tc>
      </w:tr>
      <w:tr w14:paraId="4CA6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8A58421">
            <w:pPr>
              <w:spacing w:after="20"/>
            </w:pPr>
            <w:r>
              <w:rPr>
                <w:rFonts w:ascii="Times New Roman" w:hAnsi="Times New Roman"/>
                <w:b w:val="0"/>
                <w:color w:val="000000"/>
                <w:sz w:val="18"/>
              </w:rPr>
              <w:t>Review public results</w:t>
            </w:r>
          </w:p>
        </w:tc>
        <w:tc>
          <w:tcPr>
            <w:tcW w:w="4968" w:type="dxa"/>
            <w:vAlign w:val="center"/>
          </w:tcPr>
          <w:p w14:paraId="3D7B452B">
            <w:pPr>
              <w:spacing w:after="20"/>
            </w:pPr>
            <w:r>
              <w:rPr>
                <w:rFonts w:ascii="Times New Roman" w:hAnsi="Times New Roman"/>
                <w:b w:val="0"/>
                <w:color w:val="000000"/>
                <w:sz w:val="18"/>
              </w:rPr>
              <w:t>Only permitted aggregate information is displayed.</w:t>
            </w:r>
          </w:p>
        </w:tc>
      </w:tr>
      <w:tr w14:paraId="37A18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45963F8">
            <w:pPr>
              <w:spacing w:after="20"/>
            </w:pPr>
            <w:r>
              <w:rPr>
                <w:rFonts w:ascii="Times New Roman" w:hAnsi="Times New Roman"/>
                <w:b w:val="0"/>
                <w:color w:val="000000"/>
                <w:sz w:val="18"/>
              </w:rPr>
              <w:t>Generate an audit report</w:t>
            </w:r>
          </w:p>
        </w:tc>
        <w:tc>
          <w:tcPr>
            <w:tcW w:w="4968" w:type="dxa"/>
            <w:vAlign w:val="center"/>
          </w:tcPr>
          <w:p w14:paraId="042ACCF4">
            <w:pPr>
              <w:spacing w:after="20"/>
            </w:pPr>
            <w:r>
              <w:rPr>
                <w:rFonts w:ascii="Times New Roman" w:hAnsi="Times New Roman"/>
                <w:b w:val="0"/>
                <w:color w:val="000000"/>
                <w:sz w:val="18"/>
              </w:rPr>
              <w:t>The report includes authorized process evidence without revealing ballot choices.</w:t>
            </w:r>
          </w:p>
        </w:tc>
      </w:tr>
    </w:tbl>
    <w:p w14:paraId="451AE3C9"/>
    <w:p w14:paraId="0DC0BD7F">
      <w:pPr>
        <w:pStyle w:val="2"/>
        <w:spacing w:before="160" w:after="80"/>
      </w:pPr>
      <w:r>
        <w:t>18. Risks and Mitigation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09A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290B808E">
            <w:pPr>
              <w:spacing w:after="20"/>
            </w:pPr>
            <w:r>
              <w:rPr>
                <w:rFonts w:ascii="Times New Roman" w:hAnsi="Times New Roman"/>
                <w:b/>
                <w:color w:val="000000"/>
                <w:sz w:val="18"/>
              </w:rPr>
              <w:t>Risk</w:t>
            </w:r>
          </w:p>
        </w:tc>
        <w:tc>
          <w:tcPr>
            <w:tcW w:w="4968" w:type="dxa"/>
            <w:shd w:val="clear" w:color="auto" w:fill="D9EAF7"/>
            <w:vAlign w:val="center"/>
          </w:tcPr>
          <w:p w14:paraId="484E07DF">
            <w:pPr>
              <w:spacing w:after="20"/>
            </w:pPr>
            <w:r>
              <w:rPr>
                <w:rFonts w:ascii="Times New Roman" w:hAnsi="Times New Roman"/>
                <w:b/>
                <w:color w:val="000000"/>
                <w:sz w:val="18"/>
              </w:rPr>
              <w:t>Mitigation</w:t>
            </w:r>
          </w:p>
        </w:tc>
      </w:tr>
      <w:tr w14:paraId="715C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799F898">
            <w:pPr>
              <w:spacing w:after="20"/>
            </w:pPr>
            <w:r>
              <w:rPr>
                <w:rFonts w:ascii="Times New Roman" w:hAnsi="Times New Roman"/>
                <w:b w:val="0"/>
                <w:color w:val="000000"/>
                <w:sz w:val="18"/>
              </w:rPr>
              <w:t>Incorrect ownership data</w:t>
            </w:r>
          </w:p>
        </w:tc>
        <w:tc>
          <w:tcPr>
            <w:tcW w:w="4968" w:type="dxa"/>
            <w:vAlign w:val="center"/>
          </w:tcPr>
          <w:p w14:paraId="77B47020">
            <w:pPr>
              <w:spacing w:after="20"/>
            </w:pPr>
            <w:r>
              <w:rPr>
                <w:rFonts w:ascii="Times New Roman" w:hAnsi="Times New Roman"/>
                <w:b w:val="0"/>
                <w:color w:val="000000"/>
                <w:sz w:val="18"/>
              </w:rPr>
              <w:t>Use authorized sources, timestamps, reconciliation and exception handling.</w:t>
            </w:r>
          </w:p>
        </w:tc>
      </w:tr>
      <w:tr w14:paraId="7DE1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1E48A54">
            <w:pPr>
              <w:spacing w:after="20"/>
            </w:pPr>
            <w:r>
              <w:rPr>
                <w:rFonts w:ascii="Times New Roman" w:hAnsi="Times New Roman"/>
                <w:b w:val="0"/>
                <w:color w:val="000000"/>
                <w:sz w:val="18"/>
              </w:rPr>
              <w:t>Account takeover</w:t>
            </w:r>
          </w:p>
        </w:tc>
        <w:tc>
          <w:tcPr>
            <w:tcW w:w="4968" w:type="dxa"/>
            <w:vAlign w:val="center"/>
          </w:tcPr>
          <w:p w14:paraId="2796D9E9">
            <w:pPr>
              <w:spacing w:after="20"/>
            </w:pPr>
            <w:r>
              <w:rPr>
                <w:rFonts w:ascii="Times New Roman" w:hAnsi="Times New Roman"/>
                <w:b w:val="0"/>
                <w:color w:val="000000"/>
                <w:sz w:val="18"/>
              </w:rPr>
              <w:t>Use strong authentication, rate limits, monitoring and recovery controls.</w:t>
            </w:r>
          </w:p>
        </w:tc>
      </w:tr>
      <w:tr w14:paraId="5FE88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4435B2A">
            <w:pPr>
              <w:spacing w:after="20"/>
            </w:pPr>
            <w:r>
              <w:rPr>
                <w:rFonts w:ascii="Times New Roman" w:hAnsi="Times New Roman"/>
                <w:b w:val="0"/>
                <w:color w:val="000000"/>
                <w:sz w:val="18"/>
              </w:rPr>
              <w:t>Ballot privacy failure</w:t>
            </w:r>
          </w:p>
        </w:tc>
        <w:tc>
          <w:tcPr>
            <w:tcW w:w="4968" w:type="dxa"/>
            <w:vAlign w:val="center"/>
          </w:tcPr>
          <w:p w14:paraId="0685EBFF">
            <w:pPr>
              <w:spacing w:after="20"/>
            </w:pPr>
            <w:r>
              <w:rPr>
                <w:rFonts w:ascii="Times New Roman" w:hAnsi="Times New Roman"/>
                <w:b w:val="0"/>
                <w:color w:val="000000"/>
                <w:sz w:val="18"/>
              </w:rPr>
              <w:t>Use independent cryptographic review, access separation and privacy testing.</w:t>
            </w:r>
          </w:p>
        </w:tc>
      </w:tr>
      <w:tr w14:paraId="15CD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AAADA94">
            <w:pPr>
              <w:spacing w:after="20"/>
            </w:pPr>
            <w:r>
              <w:rPr>
                <w:rFonts w:ascii="Times New Roman" w:hAnsi="Times New Roman"/>
                <w:b w:val="0"/>
                <w:color w:val="000000"/>
                <w:sz w:val="18"/>
              </w:rPr>
              <w:t>Duplicate or replayed submissions</w:t>
            </w:r>
          </w:p>
        </w:tc>
        <w:tc>
          <w:tcPr>
            <w:tcW w:w="4968" w:type="dxa"/>
            <w:vAlign w:val="center"/>
          </w:tcPr>
          <w:p w14:paraId="2B62BC45">
            <w:pPr>
              <w:spacing w:after="20"/>
            </w:pPr>
            <w:r>
              <w:rPr>
                <w:rFonts w:ascii="Times New Roman" w:hAnsi="Times New Roman"/>
                <w:b w:val="0"/>
                <w:color w:val="000000"/>
                <w:sz w:val="18"/>
              </w:rPr>
              <w:t>Use unique voting-entitlement controls and secure submission identifiers.</w:t>
            </w:r>
          </w:p>
        </w:tc>
      </w:tr>
      <w:tr w14:paraId="542C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19DA588">
            <w:pPr>
              <w:spacing w:after="20"/>
            </w:pPr>
            <w:r>
              <w:rPr>
                <w:rFonts w:ascii="Times New Roman" w:hAnsi="Times New Roman"/>
                <w:b w:val="0"/>
                <w:color w:val="000000"/>
                <w:sz w:val="18"/>
              </w:rPr>
              <w:t>Service outage</w:t>
            </w:r>
          </w:p>
        </w:tc>
        <w:tc>
          <w:tcPr>
            <w:tcW w:w="4968" w:type="dxa"/>
            <w:vAlign w:val="center"/>
          </w:tcPr>
          <w:p w14:paraId="30D9227D">
            <w:pPr>
              <w:spacing w:after="20"/>
            </w:pPr>
            <w:r>
              <w:rPr>
                <w:rFonts w:ascii="Times New Roman" w:hAnsi="Times New Roman"/>
                <w:b w:val="0"/>
                <w:color w:val="000000"/>
                <w:sz w:val="18"/>
              </w:rPr>
              <w:t>Prepare recovery plans, backups and a documented contingency process.</w:t>
            </w:r>
          </w:p>
        </w:tc>
      </w:tr>
      <w:tr w14:paraId="55CD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C090C47">
            <w:pPr>
              <w:spacing w:after="20"/>
            </w:pPr>
            <w:r>
              <w:rPr>
                <w:rFonts w:ascii="Times New Roman" w:hAnsi="Times New Roman"/>
                <w:b w:val="0"/>
                <w:color w:val="000000"/>
                <w:sz w:val="18"/>
              </w:rPr>
              <w:t>Regulatory mismatch</w:t>
            </w:r>
          </w:p>
        </w:tc>
        <w:tc>
          <w:tcPr>
            <w:tcW w:w="4968" w:type="dxa"/>
            <w:vAlign w:val="center"/>
          </w:tcPr>
          <w:p w14:paraId="7CC58937">
            <w:pPr>
              <w:spacing w:after="20"/>
            </w:pPr>
            <w:r>
              <w:rPr>
                <w:rFonts w:ascii="Times New Roman" w:hAnsi="Times New Roman"/>
                <w:b w:val="0"/>
                <w:color w:val="000000"/>
                <w:sz w:val="18"/>
              </w:rPr>
              <w:t>Obtain legal and governance review before deployment.</w:t>
            </w:r>
          </w:p>
        </w:tc>
      </w:tr>
      <w:tr w14:paraId="33D8C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351F9C1">
            <w:pPr>
              <w:spacing w:after="20"/>
            </w:pPr>
            <w:r>
              <w:rPr>
                <w:rFonts w:ascii="Times New Roman" w:hAnsi="Times New Roman"/>
                <w:b w:val="0"/>
                <w:color w:val="000000"/>
                <w:sz w:val="18"/>
              </w:rPr>
              <w:t>Prototype mistaken for certified software</w:t>
            </w:r>
          </w:p>
        </w:tc>
        <w:tc>
          <w:tcPr>
            <w:tcW w:w="4968" w:type="dxa"/>
            <w:vAlign w:val="center"/>
          </w:tcPr>
          <w:p w14:paraId="7A7D9274">
            <w:pPr>
              <w:spacing w:after="20"/>
            </w:pPr>
            <w:r>
              <w:rPr>
                <w:rFonts w:ascii="Times New Roman" w:hAnsi="Times New Roman"/>
                <w:b w:val="0"/>
                <w:color w:val="000000"/>
                <w:sz w:val="18"/>
              </w:rPr>
              <w:t>Clearly label simulation limits and require independent review.</w:t>
            </w:r>
          </w:p>
        </w:tc>
      </w:tr>
    </w:tbl>
    <w:p w14:paraId="777A6B08"/>
    <w:p w14:paraId="0F5DC592">
      <w:pPr>
        <w:pStyle w:val="2"/>
        <w:spacing w:before="160" w:after="80"/>
      </w:pPr>
      <w:r>
        <w:t>19. Expected Outcomes</w:t>
      </w:r>
    </w:p>
    <w:p w14:paraId="6F956351">
      <w:pPr>
        <w:pStyle w:val="23"/>
        <w:spacing w:after="40"/>
      </w:pPr>
      <w:r>
        <w:t>Improved remote shareholder participation.</w:t>
      </w:r>
    </w:p>
    <w:p w14:paraId="04D49E92">
      <w:pPr>
        <w:pStyle w:val="23"/>
        <w:spacing w:after="40"/>
      </w:pPr>
      <w:r>
        <w:t>Faster aggregation and clearer status information.</w:t>
      </w:r>
    </w:p>
    <w:p w14:paraId="200652EC">
      <w:pPr>
        <w:pStyle w:val="23"/>
        <w:spacing w:after="40"/>
      </w:pPr>
      <w:r>
        <w:t>Reduced manual reconciliation effort.</w:t>
      </w:r>
    </w:p>
    <w:p w14:paraId="11E92421">
      <w:pPr>
        <w:pStyle w:val="23"/>
        <w:spacing w:after="40"/>
      </w:pPr>
      <w:r>
        <w:t>Better evidence for audit and governance review.</w:t>
      </w:r>
    </w:p>
    <w:p w14:paraId="606FE360">
      <w:pPr>
        <w:pStyle w:val="23"/>
        <w:spacing w:after="40"/>
      </w:pPr>
      <w:r>
        <w:t>Improved protection against duplicate submissions and unauthorized access, subject to validation.</w:t>
      </w:r>
    </w:p>
    <w:p w14:paraId="11DFD921">
      <w:pPr>
        <w:pStyle w:val="2"/>
        <w:spacing w:before="160" w:after="80"/>
      </w:pPr>
      <w:r>
        <w:t>20. Limitations and Future Enhancements</w:t>
      </w:r>
    </w:p>
    <w:p w14:paraId="0B6150EC">
      <w:r>
        <w:t>A classroom design cannot prove production-level security, legal compliance or the correctness of every cryptographic component. Real brokerage connections require authorization and data-sharing agreements. Before deployment, the system would need independent security audits, legal review, accessibility evaluation, load testing, key-management procedures and a tested dispute-resolution process.</w:t>
      </w:r>
    </w:p>
    <w:p w14:paraId="64E2F34D">
      <w:pPr>
        <w:pStyle w:val="23"/>
        <w:spacing w:after="40"/>
      </w:pPr>
      <w:r>
        <w:t>Future enhancements include independent verifiability proofs, stronger privacy-preserving tally methods, accessibility improvements, multilingual interfaces, third-party audits and standardized integrations with authorized shareholder registries.</w:t>
      </w:r>
    </w:p>
    <w:p w14:paraId="126D3DEF">
      <w:pPr>
        <w:pStyle w:val="2"/>
        <w:spacing w:before="160" w:after="80"/>
      </w:pPr>
      <w:r>
        <w:t>21. Conclusion</w:t>
      </w:r>
    </w:p>
    <w:p w14:paraId="26839911">
      <w:r>
        <w:t>The Corporate Governance E-Voting Engine is a proposed digital approach to shareholder voting that combines eligibility verification, secure ballots, share-weighted tallying and audit reporting. Its design aims to improve participation and transparency while protecting individual voting choices. The system should be treated as a design proposal until specialist legal, security and governance reviews are completed.</w:t>
      </w:r>
    </w:p>
    <w:p w14:paraId="59DAA4DE">
      <w:pPr>
        <w:pStyle w:val="2"/>
        <w:spacing w:before="160" w:after="80"/>
      </w:pPr>
      <w:r>
        <w:t>22. References and Source Note</w:t>
      </w:r>
    </w:p>
    <w:p w14:paraId="023EC176">
      <w:pPr>
        <w:pStyle w:val="23"/>
        <w:spacing w:after="40"/>
      </w:pPr>
      <w:r>
        <w:t>Student-provided industry context, problem statement, objectives and expected outcomes for the Corporate Governance E-Voting Engine.</w:t>
      </w:r>
    </w:p>
    <w:p w14:paraId="2F52CDB0">
      <w:pPr>
        <w:pStyle w:val="23"/>
        <w:spacing w:after="40"/>
      </w:pPr>
      <w:r>
        <w:t>CSA10 / CSA1021 Software Engineering, CO1 Assessment Tool 1 – Case Study Analysis, assessment structure and rubric as represented in the senior reference document.</w:t>
      </w:r>
    </w:p>
    <w:p w14:paraId="048EC194">
      <w:pPr>
        <w:pStyle w:val="23"/>
        <w:spacing w:after="40"/>
      </w:pPr>
      <w:r>
        <w:t>Security, cryptographic and legal implementation choices require independent expert verification before any real-world deployment.</w:t>
      </w:r>
    </w:p>
    <w:sectPr>
      <w:footerReference r:id="rId5" w:type="default"/>
      <w:pgSz w:w="12240" w:h="15840"/>
      <w:pgMar w:top="1008" w:right="1152" w:bottom="936" w:left="1152"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82916">
    <w:pPr>
      <w:pStyle w:val="18"/>
      <w:jc w:val="center"/>
    </w:pPr>
    <w:r>
      <w:rPr>
        <w:rFonts w:ascii="Times New Roman" w:hAnsi="Times New Roman"/>
        <w:color w:val="000000"/>
        <w:sz w:val="16"/>
      </w:rPr>
      <w:t xml:space="preserve">CSA10 / CSA1021 | CO1 | K. Roshini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447C57"/>
    <w:rsid w:val="696F10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Times New Roman" w:hAnsi="Times New Roman"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3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2124</Words>
  <Characters>14552</Characters>
  <Lines>0</Lines>
  <Paragraphs>0</Paragraphs>
  <TotalTime>1</TotalTime>
  <ScaleCrop>false</ScaleCrop>
  <LinksUpToDate>false</LinksUpToDate>
  <CharactersWithSpaces>16401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WPS_1788204158</cp:lastModifiedBy>
  <dcterms:modified xsi:type="dcterms:W3CDTF">2026-10-15T11:58:02Z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eyJoZGlkIjoiOTkwN2U1YjA5NGNhNGZmNDk0NzFjM2VmMmU5NjQxNjIiLCJ1c2VySWQiOiI1NDk3NzEwNjQ4MzEifQ==</vt:lpwstr>
  </property>
  <property fmtid="{D5CDD505-2E9C-101B-9397-08002B2CF9AE}" pid="3" name="KSOProductBuildVer">
    <vt:lpwstr>1033-12.1.0.29162</vt:lpwstr>
  </property>
  <property fmtid="{D5CDD505-2E9C-101B-9397-08002B2CF9AE}" pid="4" name="ICV">
    <vt:lpwstr>D0C4787023964EE49F2AA19AF7FC4E34_13</vt:lpwstr>
  </property>
</Properties>
</file>