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Multiple controls need to be implemented to improve Botium Toys’ security posture to ensure the confidentiality of sensitive information, including: Least Privilege, disaster recovery plans, password policies, separation of duties, an IDS, ongoing legacy system management, encryption, and a password management system.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