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60"/>
      </w:pPr>
      <w:r>
        <w:rPr>
          <w:rFonts w:ascii="Calibri" w:hAnsi="Calibri"/>
          <w:b/>
          <w:color w:val="144E43"/>
          <w:sz w:val="20"/>
        </w:rPr>
        <w:t>PRODUCT &amp; COLLABORATION BRIEF</w:t>
      </w:r>
    </w:p>
    <w:p>
      <w:pPr>
        <w:keepNext/>
        <w:spacing w:before="0" w:after="120"/>
      </w:pPr>
      <w:r>
        <w:rPr>
          <w:rFonts w:ascii="Calibri" w:hAnsi="Calibri"/>
          <w:b/>
          <w:color w:val="0B2545"/>
          <w:sz w:val="58"/>
        </w:rPr>
        <w:t>AI Munim</w:t>
      </w:r>
    </w:p>
    <w:p>
      <w:pPr>
        <w:spacing w:after="320"/>
      </w:pPr>
      <w:r>
        <w:rPr>
          <w:rFonts w:ascii="Calibri" w:hAnsi="Calibri"/>
          <w:color w:val="5C6570"/>
          <w:sz w:val="28"/>
        </w:rPr>
        <w:t>A simple invoice-to-cash assistant for Indian small businesses</w:t>
      </w:r>
    </w:p>
    <w:p>
      <w:pPr>
        <w:spacing w:before="120" w:after="200" w:line="264" w:lineRule="auto"/>
        <w:ind w:left="216" w:right="216"/>
        <w:shd w:fill="EAF3EF"/>
        <w:pBdr>
          <w:left w:val="single" w:sz="18" w:space="6" w:color="144E43"/>
        </w:pBdr>
      </w:pPr>
      <w:r>
        <w:rPr>
          <w:rFonts w:ascii="Calibri" w:hAnsi="Calibri"/>
          <w:b/>
          <w:color w:val="0B2545"/>
          <w:sz w:val="22"/>
        </w:rPr>
        <w:t xml:space="preserve">In one sentence: </w:t>
      </w:r>
      <w:r>
        <w:rPr>
          <w:rFonts w:ascii="Calibri" w:hAnsi="Calibri"/>
          <w:color w:val="232A34"/>
          <w:sz w:val="22"/>
        </w:rPr>
        <w:t>A business owner types or speaks a request in normal language; the system prepares a GST invoice, creates a UPI collection method, records the receivable and helps follow up - while the owner remains in control of every financial entry.</w:t>
      </w:r>
    </w:p>
    <w:p>
      <w:pPr>
        <w:pStyle w:val="Heading1"/>
        <w:keepNext/>
      </w:pPr>
      <w:r>
        <w:t>The problem we are solving</w:t>
      </w:r>
    </w:p>
    <w:p>
      <w:pPr>
        <w:spacing w:before="0" w:after="120" w:line="264" w:lineRule="auto"/>
      </w:pPr>
      <w:r>
        <w:rPr>
          <w:rFonts w:ascii="Calibri" w:hAnsi="Calibri"/>
          <w:i w:val="0"/>
          <w:color w:val="232A34"/>
          <w:sz w:val="22"/>
        </w:rPr>
        <w:t>Many small businesses operate through a phone, WhatsApp and UPI, but their invoicing, customer records and outstanding payments are spread across notebooks, spreadsheets, billing apps and messages. The result is repeated data entry, delayed invoices, uncertain receivables and messy information for the accountant.</w:t>
      </w:r>
    </w:p>
    <w:p>
      <w:pPr>
        <w:pStyle w:val="Heading1"/>
        <w:keepNext/>
      </w:pPr>
      <w:r>
        <w:t>What the product will do</w:t>
      </w:r>
    </w:p>
    <w:p>
      <w:pPr>
        <w:pStyle w:val="ListBullet"/>
        <w:spacing w:after="160" w:line="280" w:lineRule="auto"/>
        <w:ind w:left="720" w:hanging="360"/>
      </w:pPr>
      <w:r>
        <w:rPr>
          <w:rFonts w:ascii="Calibri" w:hAnsi="Calibri"/>
          <w:b/>
          <w:color w:val="232A34"/>
          <w:sz w:val="22"/>
        </w:rPr>
        <w:t>Create GST invoice drafts</w:t>
      </w:r>
      <w:r>
        <w:rPr>
          <w:rFonts w:ascii="Calibri" w:hAnsi="Calibri"/>
          <w:color w:val="232A34"/>
          <w:sz w:val="22"/>
        </w:rPr>
        <w:t xml:space="preserve"> from English, Hindi or Hinglish text; voice can be added after field testing.</w:t>
      </w:r>
    </w:p>
    <w:p>
      <w:pPr>
        <w:pStyle w:val="ListBullet"/>
        <w:spacing w:after="160" w:line="280" w:lineRule="auto"/>
        <w:ind w:left="720" w:hanging="360"/>
      </w:pPr>
      <w:r>
        <w:rPr>
          <w:rFonts w:ascii="Calibri" w:hAnsi="Calibri"/>
          <w:b/>
          <w:color w:val="232A34"/>
          <w:sz w:val="22"/>
        </w:rPr>
        <w:t>Calculate</w:t>
      </w:r>
      <w:r>
        <w:rPr>
          <w:rFonts w:ascii="Calibri" w:hAnsi="Calibri"/>
          <w:color w:val="232A34"/>
          <w:sz w:val="22"/>
        </w:rPr>
        <w:t xml:space="preserve"> taxable value, CGST/SGST or IGST and the final total using controlled software rules.</w:t>
      </w:r>
    </w:p>
    <w:p>
      <w:pPr>
        <w:pStyle w:val="ListBullet"/>
        <w:spacing w:after="160" w:line="280" w:lineRule="auto"/>
        <w:ind w:left="720" w:hanging="360"/>
      </w:pPr>
      <w:r>
        <w:rPr>
          <w:rFonts w:ascii="Calibri" w:hAnsi="Calibri"/>
          <w:b/>
          <w:color w:val="232A34"/>
          <w:sz w:val="22"/>
        </w:rPr>
        <w:t>Remember customers</w:t>
      </w:r>
      <w:r>
        <w:rPr>
          <w:rFonts w:ascii="Calibri" w:hAnsi="Calibri"/>
          <w:color w:val="232A34"/>
          <w:sz w:val="22"/>
        </w:rPr>
        <w:t xml:space="preserve"> and common items or services, reducing repeated typing.</w:t>
      </w:r>
    </w:p>
    <w:p>
      <w:pPr>
        <w:pStyle w:val="ListBullet"/>
        <w:spacing w:after="160" w:line="280" w:lineRule="auto"/>
        <w:ind w:left="720" w:hanging="360"/>
      </w:pPr>
      <w:r>
        <w:rPr>
          <w:rFonts w:ascii="Calibri" w:hAnsi="Calibri"/>
          <w:b/>
          <w:color w:val="232A34"/>
          <w:sz w:val="22"/>
        </w:rPr>
        <w:t>Generate</w:t>
      </w:r>
      <w:r>
        <w:rPr>
          <w:rFonts w:ascii="Calibri" w:hAnsi="Calibri"/>
          <w:color w:val="232A34"/>
          <w:sz w:val="22"/>
        </w:rPr>
        <w:t xml:space="preserve"> a PDF invoice and merchant-owned UPI QR or payment link for sharing.</w:t>
      </w:r>
    </w:p>
    <w:p>
      <w:pPr>
        <w:pStyle w:val="ListBullet"/>
        <w:spacing w:after="160" w:line="280" w:lineRule="auto"/>
        <w:ind w:left="720" w:hanging="360"/>
      </w:pPr>
      <w:r>
        <w:rPr>
          <w:rFonts w:ascii="Calibri" w:hAnsi="Calibri"/>
          <w:b/>
          <w:color w:val="232A34"/>
          <w:sz w:val="22"/>
        </w:rPr>
        <w:t>Maintain a receivables ledger</w:t>
      </w:r>
      <w:r>
        <w:rPr>
          <w:rFonts w:ascii="Calibri" w:hAnsi="Calibri"/>
          <w:color w:val="232A34"/>
          <w:sz w:val="22"/>
        </w:rPr>
        <w:t>, including unpaid, part-paid, paid and overdue amounts.</w:t>
      </w:r>
    </w:p>
    <w:p>
      <w:pPr>
        <w:pStyle w:val="ListBullet"/>
        <w:spacing w:after="160" w:line="280" w:lineRule="auto"/>
        <w:ind w:left="720" w:hanging="360"/>
      </w:pPr>
      <w:r>
        <w:rPr>
          <w:rFonts w:ascii="Calibri" w:hAnsi="Calibri"/>
          <w:b/>
          <w:color w:val="232A34"/>
          <w:sz w:val="22"/>
        </w:rPr>
        <w:t>Prepare</w:t>
      </w:r>
      <w:r>
        <w:rPr>
          <w:rFonts w:ascii="Calibri" w:hAnsi="Calibri"/>
          <w:color w:val="232A34"/>
          <w:sz w:val="22"/>
        </w:rPr>
        <w:t xml:space="preserve"> polite payment reminders and export structured records for the CA.</w:t>
      </w:r>
    </w:p>
    <w:p>
      <w:pPr>
        <w:pStyle w:val="Heading1"/>
        <w:keepNext/>
      </w:pPr>
      <w:r>
        <w:t>A typical workflow</w:t>
      </w:r>
    </w:p>
    <w:p>
      <w:pPr>
        <w:spacing w:before="80" w:after="160" w:line="269" w:lineRule="auto"/>
        <w:ind w:left="360" w:right="360"/>
        <w:shd w:fill="FFF6DD"/>
        <w:pBdr>
          <w:left w:val="single" w:sz="16" w:space="6" w:color="D6A522"/>
        </w:pBdr>
      </w:pPr>
      <w:r>
        <w:rPr>
          <w:rFonts w:ascii="Calibri" w:hAnsi="Calibri"/>
          <w:i/>
          <w:color w:val="232A34"/>
          <w:sz w:val="22"/>
        </w:rPr>
        <w:t>Owner: "Sharma Traders ka invoice bana do, 25 boxes x Rs.850, GST 18%, 15 din credit."</w:t>
      </w:r>
    </w:p>
    <w:p>
      <w:pPr>
        <w:pStyle w:val="ListNumber"/>
        <w:spacing w:after="160" w:line="280" w:lineRule="auto"/>
        <w:ind w:left="720" w:hanging="360"/>
      </w:pPr>
      <w:r>
        <w:rPr>
          <w:rFonts w:ascii="Calibri" w:hAnsi="Calibri"/>
          <w:color w:val="232A34"/>
          <w:sz w:val="22"/>
        </w:rPr>
        <w:t>The assistant identifies the customer, quantity, rate, tax rate and credit period.</w:t>
      </w:r>
    </w:p>
    <w:p>
      <w:pPr>
        <w:pStyle w:val="ListNumber"/>
        <w:spacing w:after="160" w:line="280" w:lineRule="auto"/>
        <w:ind w:left="720" w:hanging="360"/>
      </w:pPr>
      <w:r>
        <w:rPr>
          <w:rFonts w:ascii="Calibri" w:hAnsi="Calibri"/>
          <w:color w:val="232A34"/>
          <w:sz w:val="22"/>
        </w:rPr>
        <w:t>The deterministic engine calculates taxable value Rs.21,250, CGST Rs.1,912.50, SGST Rs.1,912.50 and total Rs.25,075.</w:t>
      </w:r>
    </w:p>
    <w:p>
      <w:pPr>
        <w:pStyle w:val="ListNumber"/>
        <w:spacing w:after="160" w:line="280" w:lineRule="auto"/>
        <w:ind w:left="720" w:hanging="360"/>
      </w:pPr>
      <w:r>
        <w:rPr>
          <w:rFonts w:ascii="Calibri" w:hAnsi="Calibri"/>
          <w:color w:val="232A34"/>
          <w:sz w:val="22"/>
        </w:rPr>
        <w:t>The owner reviews the draft and presses Confirm &amp; issue.</w:t>
      </w:r>
    </w:p>
    <w:p>
      <w:pPr>
        <w:pStyle w:val="ListNumber"/>
        <w:spacing w:after="160" w:line="280" w:lineRule="auto"/>
        <w:ind w:left="720" w:hanging="360"/>
      </w:pPr>
      <w:r>
        <w:rPr>
          <w:rFonts w:ascii="Calibri" w:hAnsi="Calibri"/>
          <w:color w:val="232A34"/>
          <w:sz w:val="22"/>
        </w:rPr>
        <w:t>Only then does the system allocate an invoice number, save the receivable and produce the PDF/UPI QR.</w:t>
      </w:r>
    </w:p>
    <w:p>
      <w:r>
        <w:br w:type="page"/>
      </w:r>
    </w:p>
    <w:p>
      <w:pPr>
        <w:pStyle w:val="Heading1"/>
        <w:keepNext/>
      </w:pPr>
      <w:r>
        <w:t>Who we are starting with</w:t>
      </w:r>
    </w:p>
    <w:p>
      <w:pPr>
        <w:spacing w:before="0" w:after="120" w:line="264" w:lineRule="auto"/>
      </w:pPr>
      <w:r>
        <w:rPr>
          <w:rFonts w:ascii="Calibri" w:hAnsi="Calibri"/>
          <w:i w:val="0"/>
          <w:color w:val="232A34"/>
          <w:sz w:val="22"/>
        </w:rPr>
        <w:t>The launch hypothesis is GST-registered, owner-led industrial service contractors and small fabricators in the Raipur-Durg-Bhilai cluster. Examples include electrical, machinery, pump, HVAC, solar, CCTV and fire-safety contractors, maintenance businesses, installation vendors and small job-work/fabrication units.</w:t>
      </w:r>
    </w:p>
    <w:p>
      <w:pPr>
        <w:spacing w:before="120" w:after="200" w:line="264" w:lineRule="auto"/>
        <w:ind w:left="216" w:right="216"/>
        <w:shd w:fill="E8EEF5"/>
        <w:pBdr>
          <w:left w:val="single" w:sz="18" w:space="6" w:color="2E74B5"/>
        </w:pBdr>
      </w:pPr>
      <w:r>
        <w:rPr>
          <w:rFonts w:ascii="Calibri" w:hAnsi="Calibri"/>
          <w:b/>
          <w:color w:val="0B2545"/>
          <w:sz w:val="22"/>
        </w:rPr>
        <w:t xml:space="preserve">Ideal early user: </w:t>
      </w:r>
      <w:r>
        <w:rPr>
          <w:rFonts w:ascii="Calibri" w:hAnsi="Calibri"/>
          <w:color w:val="232A34"/>
          <w:sz w:val="22"/>
        </w:rPr>
        <w:t>A business creating roughly 20-150 invoices per month, serving repeat B2B customers, selling partly on credit, chasing payments through WhatsApp and not already locked into a complex ERP.</w:t>
      </w:r>
    </w:p>
    <w:p>
      <w:pPr>
        <w:pStyle w:val="Heading1"/>
        <w:keepNext/>
      </w:pPr>
      <w:r>
        <w:t>What is already working in the prototype</w:t>
      </w:r>
    </w:p>
    <w:tbl>
      <w:tblPr>
        <w:tblStyle w:val="TableGrid"/>
        <w:tblW w:type="dxa" w:w="9360"/>
        <w:jc w:val="left"/>
        <w:tblLayout w:type="fixed"/>
        <w:tblLook w:firstColumn="1" w:firstRow="1" w:lastColumn="0" w:lastRow="0" w:noHBand="0" w:noVBand="1" w:val="04A0"/>
        <w:tblInd w:w="120" w:type="dxa"/>
      </w:tblPr>
      <w:tblGrid>
        <w:gridCol w:w="3160"/>
        <w:gridCol w:w="6200"/>
      </w:tblGrid>
      <w:tr>
        <w:trPr>
          <w:tblHeader w:val="true"/>
        </w:trPr>
        <w:tc>
          <w:tcPr>
            <w:tcW w:type="dxa" w:w="3160"/>
            <w:tcMar>
              <w:top w:w="80" w:type="dxa"/>
              <w:start w:w="120" w:type="dxa"/>
              <w:bottom w:w="80" w:type="dxa"/>
              <w:end w:w="120" w:type="dxa"/>
            </w:tcMar>
            <w:shd w:fill="F2F4F7"/>
            <w:vAlign w:val="center"/>
          </w:tcPr>
          <w:p>
            <w:pPr>
              <w:spacing w:after="0"/>
            </w:pPr>
            <w:r>
              <w:rPr>
                <w:rFonts w:ascii="Calibri" w:hAnsi="Calibri"/>
                <w:b/>
                <w:color w:val="0B2545"/>
                <w:sz w:val="21"/>
              </w:rPr>
              <w:t>Working now</w:t>
            </w:r>
          </w:p>
        </w:tc>
        <w:tc>
          <w:tcPr>
            <w:tcW w:type="dxa" w:w="6200"/>
            <w:tcMar>
              <w:top w:w="80" w:type="dxa"/>
              <w:start w:w="120" w:type="dxa"/>
              <w:bottom w:w="80" w:type="dxa"/>
              <w:end w:w="120" w:type="dxa"/>
            </w:tcMar>
            <w:shd w:fill="F2F4F7"/>
            <w:vAlign w:val="center"/>
          </w:tcPr>
          <w:p>
            <w:pPr>
              <w:spacing w:after="0"/>
            </w:pPr>
            <w:r>
              <w:rPr>
                <w:rFonts w:ascii="Calibri" w:hAnsi="Calibri"/>
                <w:b/>
                <w:color w:val="0B2545"/>
                <w:sz w:val="21"/>
              </w:rPr>
              <w:t>Not yet production-ready</w:t>
            </w:r>
          </w:p>
        </w:tc>
      </w:tr>
      <w:tr>
        <w:tc>
          <w:tcPr>
            <w:tcW w:type="dxa" w:w="3160"/>
            <w:vAlign w:val="top"/>
          </w:tcPr>
          <w:p>
            <w:pPr>
              <w:spacing w:after="0" w:line="252" w:lineRule="auto"/>
            </w:pPr>
            <w:r>
              <w:rPr>
                <w:rFonts w:ascii="Calibri" w:hAnsi="Calibri"/>
                <w:color w:val="232A34"/>
                <w:sz w:val="20"/>
              </w:rPr>
              <w:t>Text-based invoice commands</w:t>
            </w:r>
          </w:p>
        </w:tc>
        <w:tc>
          <w:tcPr>
            <w:tcW w:type="dxa" w:w="6200"/>
            <w:vAlign w:val="top"/>
          </w:tcPr>
          <w:p>
            <w:pPr>
              <w:spacing w:after="0" w:line="252" w:lineRule="auto"/>
            </w:pPr>
            <w:r>
              <w:rPr>
                <w:rFonts w:ascii="Calibri" w:hAnsi="Calibri"/>
                <w:color w:val="232A34"/>
                <w:sz w:val="20"/>
              </w:rPr>
              <w:t>Production login, roles and tenant security</w:t>
            </w:r>
          </w:p>
        </w:tc>
      </w:tr>
      <w:tr>
        <w:tc>
          <w:tcPr>
            <w:tcW w:type="dxa" w:w="3160"/>
            <w:vAlign w:val="top"/>
          </w:tcPr>
          <w:p>
            <w:pPr>
              <w:spacing w:after="0" w:line="252" w:lineRule="auto"/>
            </w:pPr>
            <w:r>
              <w:rPr>
                <w:rFonts w:ascii="Calibri" w:hAnsi="Calibri"/>
                <w:color w:val="232A34"/>
                <w:sz w:val="20"/>
              </w:rPr>
              <w:t>Deterministic GST and paise calculations</w:t>
            </w:r>
          </w:p>
        </w:tc>
        <w:tc>
          <w:tcPr>
            <w:tcW w:type="dxa" w:w="6200"/>
            <w:vAlign w:val="top"/>
          </w:tcPr>
          <w:p>
            <w:pPr>
              <w:spacing w:after="0" w:line="252" w:lineRule="auto"/>
            </w:pPr>
            <w:r>
              <w:rPr>
                <w:rFonts w:ascii="Calibri" w:hAnsi="Calibri"/>
                <w:color w:val="232A34"/>
                <w:sz w:val="20"/>
              </w:rPr>
              <w:t>CA-approved tax edge-case matrix</w:t>
            </w:r>
          </w:p>
        </w:tc>
      </w:tr>
      <w:tr>
        <w:tc>
          <w:tcPr>
            <w:tcW w:type="dxa" w:w="3160"/>
            <w:vAlign w:val="top"/>
          </w:tcPr>
          <w:p>
            <w:pPr>
              <w:spacing w:after="0" w:line="252" w:lineRule="auto"/>
            </w:pPr>
            <w:r>
              <w:rPr>
                <w:rFonts w:ascii="Calibri" w:hAnsi="Calibri"/>
                <w:color w:val="232A34"/>
                <w:sz w:val="20"/>
              </w:rPr>
              <w:t>Draft review and explicit confirmation</w:t>
            </w:r>
          </w:p>
        </w:tc>
        <w:tc>
          <w:tcPr>
            <w:tcW w:type="dxa" w:w="6200"/>
            <w:vAlign w:val="top"/>
          </w:tcPr>
          <w:p>
            <w:pPr>
              <w:spacing w:after="0" w:line="252" w:lineRule="auto"/>
            </w:pPr>
            <w:r>
              <w:rPr>
                <w:rFonts w:ascii="Calibri" w:hAnsi="Calibri"/>
                <w:color w:val="232A34"/>
                <w:sz w:val="20"/>
              </w:rPr>
              <w:t>Automated WhatsApp Business messaging</w:t>
            </w:r>
          </w:p>
        </w:tc>
      </w:tr>
      <w:tr>
        <w:tc>
          <w:tcPr>
            <w:tcW w:type="dxa" w:w="3160"/>
            <w:vAlign w:val="top"/>
          </w:tcPr>
          <w:p>
            <w:pPr>
              <w:spacing w:after="0" w:line="252" w:lineRule="auto"/>
            </w:pPr>
            <w:r>
              <w:rPr>
                <w:rFonts w:ascii="Calibri" w:hAnsi="Calibri"/>
                <w:color w:val="232A34"/>
                <w:sz w:val="20"/>
              </w:rPr>
              <w:t>PDF invoice and UPI QR generation</w:t>
            </w:r>
          </w:p>
        </w:tc>
        <w:tc>
          <w:tcPr>
            <w:tcW w:type="dxa" w:w="6200"/>
            <w:vAlign w:val="top"/>
          </w:tcPr>
          <w:p>
            <w:pPr>
              <w:spacing w:after="0" w:line="252" w:lineRule="auto"/>
            </w:pPr>
            <w:r>
              <w:rPr>
                <w:rFonts w:ascii="Calibri" w:hAnsi="Calibri"/>
                <w:color w:val="232A34"/>
                <w:sz w:val="20"/>
              </w:rPr>
              <w:t>Automatic bank/UPI reconciliation</w:t>
            </w:r>
          </w:p>
        </w:tc>
      </w:tr>
      <w:tr>
        <w:tc>
          <w:tcPr>
            <w:tcW w:type="dxa" w:w="3160"/>
            <w:vAlign w:val="top"/>
          </w:tcPr>
          <w:p>
            <w:pPr>
              <w:spacing w:after="0" w:line="252" w:lineRule="auto"/>
            </w:pPr>
            <w:r>
              <w:rPr>
                <w:rFonts w:ascii="Calibri" w:hAnsi="Calibri"/>
                <w:color w:val="232A34"/>
                <w:sz w:val="20"/>
              </w:rPr>
              <w:t>Receivables and partial-payment records</w:t>
            </w:r>
          </w:p>
        </w:tc>
        <w:tc>
          <w:tcPr>
            <w:tcW w:type="dxa" w:w="6200"/>
            <w:vAlign w:val="top"/>
          </w:tcPr>
          <w:p>
            <w:pPr>
              <w:spacing w:after="0" w:line="252" w:lineRule="auto"/>
            </w:pPr>
            <w:r>
              <w:rPr>
                <w:rFonts w:ascii="Calibri" w:hAnsi="Calibri"/>
                <w:color w:val="232A34"/>
                <w:sz w:val="20"/>
              </w:rPr>
              <w:t>Voice transcription benchmark and rollout</w:t>
            </w:r>
          </w:p>
        </w:tc>
      </w:tr>
      <w:tr>
        <w:tc>
          <w:tcPr>
            <w:tcW w:type="dxa" w:w="3160"/>
            <w:vAlign w:val="top"/>
          </w:tcPr>
          <w:p>
            <w:pPr>
              <w:spacing w:after="0" w:line="252" w:lineRule="auto"/>
            </w:pPr>
            <w:r>
              <w:rPr>
                <w:rFonts w:ascii="Calibri" w:hAnsi="Calibri"/>
                <w:color w:val="232A34"/>
                <w:sz w:val="20"/>
              </w:rPr>
              <w:t>Customer memory, audit trail and CA CSV export</w:t>
            </w:r>
          </w:p>
        </w:tc>
        <w:tc>
          <w:tcPr>
            <w:tcW w:type="dxa" w:w="6200"/>
            <w:vAlign w:val="top"/>
          </w:tcPr>
          <w:p>
            <w:pPr>
              <w:spacing w:after="0" w:line="252" w:lineRule="auto"/>
            </w:pPr>
            <w:r>
              <w:rPr>
                <w:rFonts w:ascii="Calibri" w:hAnsi="Calibri"/>
                <w:color w:val="232A34"/>
                <w:sz w:val="20"/>
              </w:rPr>
              <w:t>PostgreSQL, backups, monitoring and security review</w:t>
            </w:r>
          </w:p>
        </w:tc>
      </w:tr>
    </w:tbl>
    <w:p>
      <w:pPr>
        <w:spacing w:before="80" w:after="160"/>
      </w:pPr>
      <w:r>
        <w:rPr>
          <w:rFonts w:ascii="Calibri" w:hAnsi="Calibri"/>
          <w:b/>
          <w:color w:val="5C6570"/>
          <w:sz w:val="19"/>
        </w:rPr>
        <w:t xml:space="preserve">Important: </w:t>
      </w:r>
      <w:r>
        <w:rPr>
          <w:rFonts w:ascii="Calibri" w:hAnsi="Calibri"/>
          <w:i/>
          <w:color w:val="5C6570"/>
          <w:sz w:val="19"/>
        </w:rPr>
        <w:t>The current prototype uses demonstration data only and must not yet be used for real customer invoicing.</w:t>
      </w:r>
    </w:p>
    <w:p>
      <w:pPr>
        <w:pStyle w:val="Heading1"/>
        <w:keepNext/>
      </w:pPr>
      <w:r>
        <w:t>How AI is controlled</w:t>
      </w:r>
    </w:p>
    <w:p>
      <w:pPr>
        <w:spacing w:before="0" w:after="120" w:line="264" w:lineRule="auto"/>
      </w:pPr>
      <w:r>
        <w:rPr>
          <w:rFonts w:ascii="Calibri" w:hAnsi="Calibri"/>
          <w:i w:val="0"/>
          <w:color w:val="232A34"/>
          <w:sz w:val="22"/>
        </w:rPr>
        <w:t>AI interprets; controlled software calculates and posts. This separation is a core safety and trust principle.</w:t>
      </w:r>
    </w:p>
    <w:p>
      <w:pPr>
        <w:pStyle w:val="ListBullet"/>
        <w:spacing w:after="160" w:line="280" w:lineRule="auto"/>
        <w:ind w:left="720" w:hanging="360"/>
      </w:pPr>
      <w:r>
        <w:rPr>
          <w:rFonts w:ascii="Calibri" w:hAnsi="Calibri"/>
          <w:b/>
          <w:color w:val="232A34"/>
          <w:sz w:val="22"/>
        </w:rPr>
        <w:t>AI may extract</w:t>
      </w:r>
      <w:r>
        <w:rPr>
          <w:rFonts w:ascii="Calibri" w:hAnsi="Calibri"/>
          <w:color w:val="232A34"/>
          <w:sz w:val="22"/>
        </w:rPr>
        <w:t xml:space="preserve"> customer, item, quantity, rate, tax preference and due date from a natural-language request.</w:t>
      </w:r>
    </w:p>
    <w:p>
      <w:pPr>
        <w:pStyle w:val="ListBullet"/>
        <w:spacing w:after="160" w:line="280" w:lineRule="auto"/>
        <w:ind w:left="720" w:hanging="360"/>
      </w:pPr>
      <w:r>
        <w:rPr>
          <w:rFonts w:ascii="Calibri" w:hAnsi="Calibri"/>
          <w:b/>
          <w:color w:val="232A34"/>
          <w:sz w:val="22"/>
        </w:rPr>
        <w:t>AI does not decide</w:t>
      </w:r>
      <w:r>
        <w:rPr>
          <w:rFonts w:ascii="Calibri" w:hAnsi="Calibri"/>
          <w:color w:val="232A34"/>
          <w:sz w:val="22"/>
        </w:rPr>
        <w:t xml:space="preserve"> the GST amount, invoice total, invoice number, payment status or ledger balance.</w:t>
      </w:r>
    </w:p>
    <w:p>
      <w:pPr>
        <w:pStyle w:val="ListBullet"/>
        <w:spacing w:after="160" w:line="280" w:lineRule="auto"/>
        <w:ind w:left="720" w:hanging="360"/>
      </w:pPr>
      <w:r>
        <w:rPr>
          <w:rFonts w:ascii="Calibri" w:hAnsi="Calibri"/>
          <w:b/>
          <w:color w:val="232A34"/>
          <w:sz w:val="22"/>
        </w:rPr>
        <w:t>Every financial draft</w:t>
      </w:r>
      <w:r>
        <w:rPr>
          <w:rFonts w:ascii="Calibri" w:hAnsi="Calibri"/>
          <w:color w:val="232A34"/>
          <w:sz w:val="22"/>
        </w:rPr>
        <w:t xml:space="preserve"> is recalculated, shown to the owner and confirmed before it becomes a record.</w:t>
      </w:r>
    </w:p>
    <w:p>
      <w:pPr>
        <w:pStyle w:val="ListBullet"/>
        <w:spacing w:after="160" w:line="280" w:lineRule="auto"/>
        <w:ind w:left="720" w:hanging="360"/>
      </w:pPr>
      <w:r>
        <w:rPr>
          <w:rFonts w:ascii="Calibri" w:hAnsi="Calibri"/>
          <w:b/>
          <w:color w:val="232A34"/>
          <w:sz w:val="22"/>
        </w:rPr>
        <w:t>The paid AI and voice APIs</w:t>
      </w:r>
      <w:r>
        <w:rPr>
          <w:rFonts w:ascii="Calibri" w:hAnsi="Calibri"/>
          <w:color w:val="232A34"/>
          <w:sz w:val="22"/>
        </w:rPr>
        <w:t xml:space="preserve"> are optional and can be added after real user-language benchmarks.</w:t>
      </w:r>
    </w:p>
    <w:p>
      <w:pPr>
        <w:pStyle w:val="Heading1"/>
        <w:keepNext/>
      </w:pPr>
      <w:r>
        <w:t>Why this is not another full accounting application</w:t>
      </w:r>
    </w:p>
    <w:p>
      <w:pPr>
        <w:spacing w:before="0" w:after="120" w:line="264" w:lineRule="auto"/>
      </w:pPr>
      <w:r>
        <w:rPr>
          <w:rFonts w:ascii="Calibri" w:hAnsi="Calibri"/>
          <w:i w:val="0"/>
          <w:color w:val="232A34"/>
          <w:sz w:val="22"/>
        </w:rPr>
        <w:t>The first promise is narrow: say it, bill it, collect it. Inventory, purchases, GST return filing, e-invoicing, e-way bills, payroll and full bookkeeping are later modules only if customers prove they need them. The aim is to make one frequent workflow exceptionally simple before expanding.</w:t>
      </w:r>
    </w:p>
    <w:p>
      <w:r>
        <w:br w:type="page"/>
      </w:r>
    </w:p>
    <w:p>
      <w:pPr>
        <w:pStyle w:val="Heading1"/>
        <w:keepNext/>
      </w:pPr>
      <w:r>
        <w:t>Why we need help from a CA</w:t>
      </w:r>
    </w:p>
    <w:p>
      <w:pPr>
        <w:spacing w:before="0" w:after="120" w:line="264" w:lineRule="auto"/>
      </w:pPr>
      <w:r>
        <w:rPr>
          <w:rFonts w:ascii="Calibri" w:hAnsi="Calibri"/>
          <w:i w:val="0"/>
          <w:color w:val="232A34"/>
          <w:sz w:val="22"/>
        </w:rPr>
        <w:t>Software can perform arithmetic consistently, but GST invoicing contains legal definitions, document requirements, place-of-supply rules, exceptions and operational practices that require professional validation. A CA who works with small businesses can also identify where real records become incomplete or unreliable before they reach the accountant.</w:t>
      </w:r>
    </w:p>
    <w:p>
      <w:pPr>
        <w:spacing w:before="120" w:after="200" w:line="264" w:lineRule="auto"/>
        <w:ind w:left="216" w:right="216"/>
        <w:shd w:fill="EAF3EF"/>
        <w:pBdr>
          <w:left w:val="single" w:sz="18" w:space="6" w:color="144E43"/>
        </w:pBdr>
      </w:pPr>
      <w:r>
        <w:rPr>
          <w:rFonts w:ascii="Calibri" w:hAnsi="Calibri"/>
          <w:b/>
          <w:color w:val="0B2545"/>
          <w:sz w:val="22"/>
        </w:rPr>
        <w:t xml:space="preserve">The CA's value: </w:t>
      </w:r>
      <w:r>
        <w:rPr>
          <w:rFonts w:ascii="Calibri" w:hAnsi="Calibri"/>
          <w:color w:val="232A34"/>
          <w:sz w:val="22"/>
        </w:rPr>
        <w:t>Convert our written assumptions into a reviewed set of production rules and test cases, so the product is useful to owners and produces records that accountants can trust.</w:t>
      </w:r>
    </w:p>
    <w:p>
      <w:pPr>
        <w:pStyle w:val="Heading1"/>
        <w:keepNext/>
      </w:pPr>
      <w:r>
        <w:t>Specific help requested from the CA</w:t>
      </w:r>
    </w:p>
    <w:p>
      <w:pPr>
        <w:pStyle w:val="ListBullet"/>
        <w:spacing w:after="160" w:line="280" w:lineRule="auto"/>
        <w:ind w:left="720" w:hanging="360"/>
      </w:pPr>
      <w:r>
        <w:rPr>
          <w:rFonts w:ascii="Calibri" w:hAnsi="Calibri"/>
          <w:b/>
          <w:color w:val="232A34"/>
          <w:sz w:val="22"/>
        </w:rPr>
        <w:t>Invoice compliance:</w:t>
      </w:r>
      <w:r>
        <w:rPr>
          <w:rFonts w:ascii="Calibri" w:hAnsi="Calibri"/>
          <w:color w:val="232A34"/>
          <w:sz w:val="22"/>
        </w:rPr>
        <w:t xml:space="preserve"> Review mandatory GST invoice fields, numbering, dates, GSTIN/state information, place of supply, HSN/SAC and wording.</w:t>
      </w:r>
    </w:p>
    <w:p>
      <w:pPr>
        <w:pStyle w:val="ListBullet"/>
        <w:spacing w:after="160" w:line="280" w:lineRule="auto"/>
        <w:ind w:left="720" w:hanging="360"/>
      </w:pPr>
      <w:r>
        <w:rPr>
          <w:rFonts w:ascii="Calibri" w:hAnsi="Calibri"/>
          <w:b/>
          <w:color w:val="232A34"/>
          <w:sz w:val="22"/>
        </w:rPr>
        <w:t>Tax scenarios:</w:t>
      </w:r>
      <w:r>
        <w:rPr>
          <w:rFonts w:ascii="Calibri" w:hAnsi="Calibri"/>
          <w:color w:val="232A34"/>
          <w:sz w:val="22"/>
        </w:rPr>
        <w:t xml:space="preserve"> Validate intra-state CGST/SGST, inter-state IGST, inclusive/exclusive pricing, rounding, discounts, advances, partial payments and non-GST cases.</w:t>
      </w:r>
    </w:p>
    <w:p>
      <w:pPr>
        <w:pStyle w:val="ListBullet"/>
        <w:spacing w:after="160" w:line="280" w:lineRule="auto"/>
        <w:ind w:left="720" w:hanging="360"/>
      </w:pPr>
      <w:r>
        <w:rPr>
          <w:rFonts w:ascii="Calibri" w:hAnsi="Calibri"/>
          <w:b/>
          <w:color w:val="232A34"/>
          <w:sz w:val="22"/>
        </w:rPr>
        <w:t>Corrections:</w:t>
      </w:r>
      <w:r>
        <w:rPr>
          <w:rFonts w:ascii="Calibri" w:hAnsi="Calibri"/>
          <w:color w:val="232A34"/>
          <w:sz w:val="22"/>
        </w:rPr>
        <w:t xml:space="preserve"> Define the safe workflow for cancellation, credit notes, revised information, returns and disputed invoices.</w:t>
      </w:r>
    </w:p>
    <w:p>
      <w:pPr>
        <w:pStyle w:val="ListBullet"/>
        <w:spacing w:after="160" w:line="280" w:lineRule="auto"/>
        <w:ind w:left="720" w:hanging="360"/>
      </w:pPr>
      <w:r>
        <w:rPr>
          <w:rFonts w:ascii="Calibri" w:hAnsi="Calibri"/>
          <w:b/>
          <w:color w:val="232A34"/>
          <w:sz w:val="22"/>
        </w:rPr>
        <w:t>Golden test matrix:</w:t>
      </w:r>
      <w:r>
        <w:rPr>
          <w:rFonts w:ascii="Calibri" w:hAnsi="Calibri"/>
          <w:color w:val="232A34"/>
          <w:sz w:val="22"/>
        </w:rPr>
        <w:t xml:space="preserve"> Review and sign off a 50+ case set that engineers can turn into automated tests.</w:t>
      </w:r>
    </w:p>
    <w:p>
      <w:pPr>
        <w:pStyle w:val="ListBullet"/>
        <w:spacing w:after="160" w:line="280" w:lineRule="auto"/>
        <w:ind w:left="720" w:hanging="360"/>
      </w:pPr>
      <w:r>
        <w:rPr>
          <w:rFonts w:ascii="Calibri" w:hAnsi="Calibri"/>
          <w:b/>
          <w:color w:val="232A34"/>
          <w:sz w:val="22"/>
        </w:rPr>
        <w:t>CA export:</w:t>
      </w:r>
      <w:r>
        <w:rPr>
          <w:rFonts w:ascii="Calibri" w:hAnsi="Calibri"/>
          <w:color w:val="232A34"/>
          <w:sz w:val="22"/>
        </w:rPr>
        <w:t xml:space="preserve"> Confirm the sales register, tax columns, payment data, exceptions and audit evidence needed for monthly/quarterly work.</w:t>
      </w:r>
    </w:p>
    <w:p>
      <w:pPr>
        <w:pStyle w:val="ListBullet"/>
        <w:spacing w:after="160" w:line="280" w:lineRule="auto"/>
        <w:ind w:left="720" w:hanging="360"/>
      </w:pPr>
      <w:r>
        <w:rPr>
          <w:rFonts w:ascii="Calibri" w:hAnsi="Calibri"/>
          <w:b/>
          <w:color w:val="232A34"/>
          <w:sz w:val="22"/>
        </w:rPr>
        <w:t>Product boundaries:</w:t>
      </w:r>
      <w:r>
        <w:rPr>
          <w:rFonts w:ascii="Calibri" w:hAnsi="Calibri"/>
          <w:color w:val="232A34"/>
          <w:sz w:val="22"/>
        </w:rPr>
        <w:t xml:space="preserve"> Identify claims the product must not make and situations that must be referred to a professional.</w:t>
      </w:r>
    </w:p>
    <w:p>
      <w:pPr>
        <w:pStyle w:val="Heading1"/>
        <w:keepNext/>
      </w:pPr>
      <w:r>
        <w:t>What we are not asking the CA to do</w:t>
      </w:r>
    </w:p>
    <w:p>
      <w:pPr>
        <w:pStyle w:val="ListBullet"/>
        <w:spacing w:after="160" w:line="280" w:lineRule="auto"/>
        <w:ind w:left="720" w:hanging="360"/>
      </w:pPr>
      <w:r>
        <w:rPr>
          <w:rFonts w:ascii="Calibri" w:hAnsi="Calibri"/>
          <w:color w:val="232A34"/>
          <w:sz w:val="22"/>
        </w:rPr>
        <w:t>Build or manage the software product.</w:t>
      </w:r>
    </w:p>
    <w:p>
      <w:pPr>
        <w:pStyle w:val="ListBullet"/>
        <w:spacing w:after="160" w:line="280" w:lineRule="auto"/>
        <w:ind w:left="720" w:hanging="360"/>
      </w:pPr>
      <w:r>
        <w:rPr>
          <w:rFonts w:ascii="Calibri" w:hAnsi="Calibri"/>
          <w:color w:val="232A34"/>
          <w:sz w:val="22"/>
        </w:rPr>
        <w:t>Accept responsibility for AI-generated text or unconfirmed user data.</w:t>
      </w:r>
    </w:p>
    <w:p>
      <w:pPr>
        <w:pStyle w:val="ListBullet"/>
        <w:spacing w:after="160" w:line="280" w:lineRule="auto"/>
        <w:ind w:left="720" w:hanging="360"/>
      </w:pPr>
      <w:r>
        <w:rPr>
          <w:rFonts w:ascii="Calibri" w:hAnsi="Calibri"/>
          <w:color w:val="232A34"/>
          <w:sz w:val="22"/>
        </w:rPr>
        <w:t>Provide ongoing filing or bookkeeping for every future customer.</w:t>
      </w:r>
    </w:p>
    <w:p>
      <w:pPr>
        <w:pStyle w:val="ListBullet"/>
        <w:spacing w:after="160" w:line="280" w:lineRule="auto"/>
        <w:ind w:left="720" w:hanging="360"/>
      </w:pPr>
      <w:r>
        <w:rPr>
          <w:rFonts w:ascii="Calibri" w:hAnsi="Calibri"/>
          <w:color w:val="232A34"/>
          <w:sz w:val="22"/>
        </w:rPr>
        <w:t>Endorse the product before reviewing the relevant rules and test evidence.</w:t>
      </w:r>
    </w:p>
    <w:p>
      <w:pPr>
        <w:pStyle w:val="ListBullet"/>
        <w:spacing w:after="160" w:line="280" w:lineRule="auto"/>
        <w:ind w:left="720" w:hanging="360"/>
      </w:pPr>
      <w:r>
        <w:rPr>
          <w:rFonts w:ascii="Calibri" w:hAnsi="Calibri"/>
          <w:color w:val="232A34"/>
          <w:sz w:val="22"/>
        </w:rPr>
        <w:t>Guarantee that the product covers every business type or unusual transaction.</w:t>
      </w:r>
    </w:p>
    <w:p>
      <w:pPr>
        <w:sectPr>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pPr>
    </w:p>
    <w:p>
      <w:pPr>
        <w:pStyle w:val="Heading1"/>
        <w:keepNext/>
      </w:pPr>
      <w:r>
        <w:t>Suggested initial engagement</w:t>
      </w:r>
    </w:p>
    <w:p>
      <w:pPr>
        <w:pStyle w:val="ListNumber"/>
        <w:numPr>
          <w:ilvl w:val="0"/>
          <w:numId w:val="10"/>
        </w:numPr>
        <w:spacing w:after="160" w:line="280" w:lineRule="auto"/>
        <w:ind w:left="720" w:hanging="360"/>
      </w:pPr>
      <w:r>
        <w:rPr>
          <w:rFonts w:ascii="Calibri" w:hAnsi="Calibri"/>
          <w:color w:val="232A34"/>
          <w:sz w:val="22"/>
        </w:rPr>
        <w:t>A 60-minute walkthrough of the prototype and intended customer workflow.</w:t>
      </w:r>
    </w:p>
    <w:p>
      <w:pPr>
        <w:pStyle w:val="ListNumber"/>
        <w:numPr>
          <w:ilvl w:val="0"/>
          <w:numId w:val="10"/>
        </w:numPr>
        <w:spacing w:after="160" w:line="280" w:lineRule="auto"/>
        <w:ind w:left="720" w:hanging="360"/>
      </w:pPr>
      <w:r>
        <w:rPr>
          <w:rFonts w:ascii="Calibri" w:hAnsi="Calibri"/>
          <w:color w:val="232A34"/>
          <w:sz w:val="22"/>
        </w:rPr>
        <w:t>Two to four hours reviewing the first invoice/GST checklist and golden scenarios.</w:t>
      </w:r>
    </w:p>
    <w:p>
      <w:pPr>
        <w:pStyle w:val="ListNumber"/>
        <w:numPr>
          <w:ilvl w:val="0"/>
          <w:numId w:val="10"/>
        </w:numPr>
        <w:spacing w:after="160" w:line="280" w:lineRule="auto"/>
        <w:ind w:left="720" w:hanging="360"/>
      </w:pPr>
      <w:r>
        <w:rPr>
          <w:rFonts w:ascii="Calibri" w:hAnsi="Calibri"/>
          <w:color w:val="232A34"/>
          <w:sz w:val="22"/>
        </w:rPr>
        <w:t>One follow-up after corrections, with a written list of accepted rules, open issues and referrals.</w:t>
      </w:r>
    </w:p>
    <w:p>
      <w:pPr>
        <w:pStyle w:val="ListNumber"/>
        <w:numPr>
          <w:ilvl w:val="0"/>
          <w:numId w:val="10"/>
        </w:numPr>
        <w:spacing w:after="160" w:line="280" w:lineRule="auto"/>
        <w:ind w:left="720" w:hanging="360"/>
      </w:pPr>
      <w:r>
        <w:rPr>
          <w:rFonts w:ascii="Calibri" w:hAnsi="Calibri"/>
          <w:color w:val="232A34"/>
          <w:sz w:val="22"/>
        </w:rPr>
        <w:t>Optional later involvement as a pilot adviser or CA-mode design partner, only if mutually useful.</w:t>
      </w:r>
    </w:p>
    <w:p>
      <w:pPr>
        <w:pStyle w:val="Heading1"/>
        <w:keepNext/>
      </w:pPr>
      <w:r>
        <w:t>What we will provide for review</w:t>
      </w:r>
    </w:p>
    <w:p>
      <w:pPr>
        <w:pStyle w:val="ListBullet"/>
        <w:spacing w:after="160" w:line="280" w:lineRule="auto"/>
        <w:ind w:left="720" w:hanging="360"/>
      </w:pPr>
      <w:r>
        <w:rPr>
          <w:rFonts w:ascii="Calibri" w:hAnsi="Calibri"/>
          <w:color w:val="232A34"/>
          <w:sz w:val="22"/>
        </w:rPr>
        <w:t>A working prototype walkthrough using demonstration data.</w:t>
      </w:r>
    </w:p>
    <w:p>
      <w:pPr>
        <w:pStyle w:val="ListBullet"/>
        <w:spacing w:after="160" w:line="280" w:lineRule="auto"/>
        <w:ind w:left="720" w:hanging="360"/>
      </w:pPr>
      <w:r>
        <w:rPr>
          <w:rFonts w:ascii="Calibri" w:hAnsi="Calibri"/>
          <w:color w:val="232A34"/>
          <w:sz w:val="22"/>
        </w:rPr>
        <w:t>Sample GST invoices and a written assumptions checklist.</w:t>
      </w:r>
    </w:p>
    <w:p>
      <w:pPr>
        <w:pStyle w:val="ListBullet"/>
        <w:spacing w:after="160" w:line="280" w:lineRule="auto"/>
        <w:ind w:left="720" w:hanging="360"/>
      </w:pPr>
      <w:r>
        <w:rPr>
          <w:rFonts w:ascii="Calibri" w:hAnsi="Calibri"/>
          <w:color w:val="232A34"/>
          <w:sz w:val="22"/>
        </w:rPr>
        <w:t>The first golden-case matrix, expected results and identified exceptions.</w:t>
      </w:r>
    </w:p>
    <w:p>
      <w:pPr>
        <w:pStyle w:val="ListBullet"/>
        <w:spacing w:after="160" w:line="280" w:lineRule="auto"/>
        <w:ind w:left="720" w:hanging="360"/>
      </w:pPr>
      <w:r>
        <w:rPr>
          <w:rFonts w:ascii="Calibri" w:hAnsi="Calibri"/>
          <w:color w:val="232A34"/>
          <w:sz w:val="22"/>
        </w:rPr>
        <w:t>A sample CA export, audit trail and consolidated question log.</w:t>
      </w:r>
    </w:p>
    <w:p>
      <w:pPr>
        <w:spacing w:before="120" w:after="200" w:line="264" w:lineRule="auto"/>
        <w:ind w:left="216" w:right="216"/>
        <w:shd w:fill="FFF6DD"/>
        <w:pBdr>
          <w:left w:val="single" w:sz="18" w:space="6" w:color="D6A522"/>
        </w:pBdr>
      </w:pPr>
      <w:r>
        <w:rPr>
          <w:rFonts w:ascii="Calibri" w:hAnsi="Calibri"/>
          <w:b/>
          <w:color w:val="0B2545"/>
          <w:sz w:val="22"/>
        </w:rPr>
        <w:t xml:space="preserve">Immediate objective: </w:t>
      </w:r>
      <w:r>
        <w:rPr>
          <w:rFonts w:ascii="Calibri" w:hAnsi="Calibri"/>
          <w:color w:val="232A34"/>
          <w:sz w:val="22"/>
        </w:rPr>
        <w:t>Make the prototype safe enough for controlled customer testing; do not attempt GST filing or broad production use until the reviewed rule matrix, security controls and pilot gates are complete.</w:t>
      </w:r>
    </w:p>
    <w:p>
      <w:pPr>
        <w:pStyle w:val="Heading1"/>
        <w:keepNext/>
      </w:pPr>
      <w:r>
        <w:t>Current project position</w:t>
      </w:r>
    </w:p>
    <w:p>
      <w:pPr>
        <w:spacing w:before="0" w:after="120" w:line="264" w:lineRule="auto"/>
      </w:pPr>
      <w:r>
        <w:rPr>
          <w:rFonts w:ascii="Calibri" w:hAnsi="Calibri"/>
          <w:i w:val="0"/>
          <w:color w:val="232A34"/>
          <w:sz w:val="22"/>
        </w:rPr>
        <w:t>A working prototype and product roadmap exist. The next business step is structured customer discovery in Chhattisgarh and the recruitment of design partners. The next professional-control step is to prepare the CA review pack described above. Product name, pricing and final scope may change as evidence is collected.</w:t>
      </w:r>
    </w:p>
    <w:p>
      <w:pPr>
        <w:spacing w:before="240" w:after="0"/>
        <w:jc w:val="center"/>
        <w:pBdr>
          <w:top w:val="single" w:sz="8" w:space="8" w:color="144E43"/>
        </w:pBdr>
      </w:pPr>
      <w:r>
        <w:rPr>
          <w:rFonts w:ascii="Calibri" w:hAnsi="Calibri"/>
          <w:i/>
          <w:color w:val="5C6570"/>
          <w:sz w:val="19"/>
        </w:rPr>
        <w:t>AI Munim is the current working name. The product is a prototype, not tax, legal or accounting advice.</w:t>
      </w:r>
    </w:p>
    <w:sectPr w:rsidR="00FC693F" w:rsidRPr="0006063C" w:rsidSect="00034616">
      <w:headerReference w:type="first" r:id="rId13"/>
      <w:footerReference w:type="first"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5C6570"/>
        <w:sz w:val="17"/>
      </w:rPr>
      <w:t xml:space="preserve">Product and CA collaboration brief  |  </w:t>
    </w:r>
    <w:r>
      <w:rPr>
        <w:rFonts w:ascii="Calibri" w:hAnsi="Calibri"/>
        <w:color w:val="5C6570"/>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5C6570"/>
        <w:sz w:val="17"/>
      </w:rPr>
      <w:t xml:space="preserve">Product and CA collaboration brief  |  </w:t>
    </w:r>
    <w:r>
      <w:rPr>
        <w:rFonts w:ascii="Calibri" w:hAnsi="Calibri"/>
        <w:color w:val="5C6570"/>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5C6570"/>
        <w:sz w:val="17"/>
      </w:rPr>
      <w:t xml:space="preserve">Product and CA collaboration brief  |  </w:t>
    </w:r>
    <w:r>
      <w:rPr>
        <w:rFonts w:ascii="Calibri" w:hAnsi="Calibri"/>
        <w:color w:val="5C657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40"/>
      <w:pBdr>
        <w:bottom w:val="single" w:sz="4" w:space="4" w:color="D7DEE8"/>
      </w:pBdr>
    </w:pPr>
    <w:r>
      <w:rPr>
        <w:rFonts w:ascii="Calibri" w:hAnsi="Calibri"/>
        <w:b/>
        <w:color w:val="144E43"/>
        <w:sz w:val="18"/>
      </w:rPr>
      <w:t>AI MUNIM  |  PRODUCT BRIEF</w:t>
    </w:r>
    <w:r>
      <w:rPr>
        <w:rFonts w:ascii="Calibri" w:hAnsi="Calibri"/>
        <w:b/>
        <w:color w:val="5C6570"/>
        <w:sz w:val="17"/>
      </w:rPr>
      <w:tab/>
      <w:t>WORKING CONCEPT  |  CHHATTISGARH PILOT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40"/>
      <w:pBdr>
        <w:bottom w:val="single" w:sz="4" w:space="4" w:color="D7DEE8"/>
      </w:pBdr>
    </w:pPr>
    <w:r>
      <w:rPr>
        <w:rFonts w:ascii="Calibri" w:hAnsi="Calibri"/>
        <w:b/>
        <w:color w:val="144E43"/>
        <w:sz w:val="18"/>
      </w:rPr>
      <w:t>AI MUNIM  |  PRODUCT BRIEF</w:t>
    </w:r>
    <w:r>
      <w:rPr>
        <w:rFonts w:ascii="Calibri" w:hAnsi="Calibri"/>
        <w:b/>
        <w:color w:val="5C6570"/>
        <w:sz w:val="17"/>
      </w:rPr>
      <w:tab/>
      <w:t>WORKING CONCEPT  |  CHHATTISGARH PILOT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40"/>
      <w:pBdr>
        <w:bottom w:val="single" w:sz="4" w:space="4" w:color="D7DEE8"/>
      </w:pBdr>
    </w:pPr>
    <w:r>
      <w:rPr>
        <w:rFonts w:ascii="Calibri" w:hAnsi="Calibri"/>
        <w:b/>
        <w:color w:val="144E43"/>
        <w:sz w:val="18"/>
      </w:rPr>
      <w:t>AI MUNIM  |  PRODUCT BRIEF</w:t>
    </w:r>
    <w:r>
      <w:rPr>
        <w:rFonts w:ascii="Calibri" w:hAnsi="Calibri"/>
        <w:b/>
        <w:color w:val="5C6570"/>
        <w:sz w:val="17"/>
      </w:rPr>
      <w:tab/>
      <w:t>WORKING CONCEPT  |  CHHATTISGARH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32A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Munim - Product and CA Collaboration Brief</dc:title>
  <dc:subject>Product explanation and defined Chartered Accountant review request</dc:subject>
  <dc:creator>AI Munim project</dc:creator>
  <cp:keywords>AI Munim, MSME, GST, invoicing, UPI, WhatsApp, CA review</cp:keywords>
  <dc:description>generated by python-docx</dc:description>
  <cp:lastModifiedBy/>
  <cp:revision>1</cp:revision>
  <dcterms:created xsi:type="dcterms:W3CDTF">2013-12-23T23:15:00Z</dcterms:created>
  <dcterms:modified xsi:type="dcterms:W3CDTF">2013-12-23T23:15:00Z</dcterms:modified>
  <cp:category/>
</cp:coreProperties>
</file>