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34"/>
          <w:szCs w:val="34"/>
        </w:rPr>
        <w:t xml:space="preserve">EDULINK SUP</w:t>
      </w:r>
    </w:p>
    <w:p>
      <w:pPr>
        <w:spacing w:after="200"/>
      </w:pPr>
      <w:r>
        <w:rPr>
          <w:i/>
          <w:iCs/>
          <w:color w:val="6B7280"/>
          <w:sz w:val="19"/>
          <w:szCs w:val="19"/>
        </w:rPr>
        <w:t xml:space="preserve">app.edulink.bj · portail.edulink.bj · landing.edulink.bj</w:t>
      </w:r>
    </w:p>
    <w:p>
      <w:pPr>
        <w:spacing w:after="60"/>
      </w:pPr>
      <w:r>
        <w:rPr>
          <w:b/>
          <w:bCs/>
          <w:color w:val="C8932E"/>
          <w:sz w:val="27"/>
          <w:szCs w:val="27"/>
        </w:rPr>
        <w:t xml:space="preserve">POLITIQUE DE CONFIDENTIALITÉ ET DE PROTECTION</w:t>
      </w:r>
    </w:p>
    <w:p>
      <w:pPr>
        <w:spacing w:after="140"/>
      </w:pPr>
      <w:r>
        <w:rPr>
          <w:b/>
          <w:bCs/>
          <w:color w:val="C8932E"/>
          <w:sz w:val="27"/>
          <w:szCs w:val="27"/>
        </w:rPr>
        <w:t xml:space="preserve">DES DONNÉES À CARACTÈRE PERSONNEL</w:t>
      </w:r>
    </w:p>
    <w:p>
      <w:pPr>
        <w:spacing w:after="110"/>
        <w:jc w:val="both"/>
      </w:pPr>
      <w:r>
        <w:rPr>
          <w:i/>
          <w:iCs/>
          <w:sz w:val="21"/>
          <w:szCs w:val="21"/>
        </w:rPr>
        <w:t xml:space="preserve">Établie en application de la loi n°2017-20 du 20 avril 2018 portant Code du numérique en République du Bénin (Livre cinquième relatif à la protection des données à caractère personnel) et des référentiels de l’Autorité de Protection des Données Personnelles (APDP).</w:t>
      </w:r>
    </w:p>
    <w:p>
      <w:pPr>
        <w:spacing w:after="260"/>
      </w:pPr>
      <w:r>
        <w:rPr>
          <w:b/>
          <w:bCs/>
          <w:sz w:val="20"/>
          <w:szCs w:val="20"/>
        </w:rPr>
        <w:t xml:space="preserve">Version 1.0 — 8 août 2026 · Éditeur : KINNOU Conseils et IA · Document préparé pour Boni KINNOU</w:t>
      </w:r>
    </w:p>
    <w:p>
      <w:pPr>
        <w:pStyle w:val="Heading1"/>
        <w:spacing w:after="140" w:before="320"/>
      </w:pPr>
      <w:r>
        <w:rPr>
          <w:b/>
          <w:bCs/>
          <w:color w:val="1B2A4A"/>
          <w:sz w:val="26"/>
          <w:szCs w:val="26"/>
        </w:rPr>
        <w:t xml:space="preserve">1. Objet et champ d’application</w:t>
      </w:r>
    </w:p>
    <w:p>
      <w:pPr>
        <w:spacing w:after="110"/>
        <w:jc w:val="both"/>
      </w:pPr>
      <w:r>
        <w:rPr>
          <w:sz w:val="21"/>
          <w:szCs w:val="21"/>
        </w:rPr>
        <w:t xml:space="preserve">La présente politique décrit la manière dont la plateforme EduLink Sup (ci-après « la Plateforme »), solution de gestion académique LMD-CAMES destinée aux établissements d’enseignement supérieur, collecte, utilise, conserve et protège les données à caractère personnel des étudiants, de leurs parents et tuteurs, ainsi que des personnels des établissements utilisateurs.</w:t>
      </w:r>
    </w:p>
    <w:p>
      <w:pPr>
        <w:spacing w:after="110"/>
        <w:jc w:val="both"/>
      </w:pPr>
      <w:r>
        <w:rPr>
          <w:sz w:val="21"/>
          <w:szCs w:val="21"/>
        </w:rPr>
        <w:t xml:space="preserve">Elle s’applique à l’ensemble des services de la Plateforme : le back-office de gestion (app.edulink.bj), le portail des familles et des étudiants (portail.edulink.bj), le site de présentation (landing.edulink.bj), ainsi qu’aux communications émises par la Plateforme (messagerie interne, courriels, SMS et notifications push).</w:t>
      </w:r>
    </w:p>
    <w:p>
      <w:pPr>
        <w:pStyle w:val="Heading1"/>
        <w:spacing w:after="140" w:before="320"/>
      </w:pPr>
      <w:r>
        <w:rPr>
          <w:b/>
          <w:bCs/>
          <w:color w:val="1B2A4A"/>
          <w:sz w:val="26"/>
          <w:szCs w:val="26"/>
        </w:rPr>
        <w:t xml:space="preserve">2. Cadre juridique et principes appliqués</w:t>
      </w:r>
    </w:p>
    <w:p>
      <w:pPr>
        <w:spacing w:after="110"/>
        <w:jc w:val="both"/>
      </w:pPr>
      <w:r>
        <w:rPr>
          <w:sz w:val="21"/>
          <w:szCs w:val="21"/>
        </w:rPr>
        <w:t xml:space="preserve">Les traitements mis en œuvre par la Plateforme sont régis par le Livre cinquième de la loi n°2017-20 du 20 avril 2018 portant Code du numérique en République du Bénin, sous le contrôle de l’Autorité de Protection des Données Personnelles (APDP). La Plateforme applique les principes suivants :</w:t>
      </w:r>
    </w:p>
    <w:p>
      <w:pPr>
        <w:pStyle w:val="ListParagraph"/>
        <w:numPr>
          <w:ilvl w:val="0"/>
          <w:numId w:val="2"/>
        </w:numPr>
        <w:spacing w:after="60"/>
      </w:pPr>
      <w:r>
        <w:rPr>
          <w:sz w:val="21"/>
          <w:szCs w:val="21"/>
        </w:rPr>
        <w:t xml:space="preserve">Licéité, loyauté et transparence : les personnes concernées sont informées des traitements réalisés et de leurs finalités.</w:t>
      </w:r>
    </w:p>
    <w:p>
      <w:pPr>
        <w:pStyle w:val="ListParagraph"/>
        <w:numPr>
          <w:ilvl w:val="0"/>
          <w:numId w:val="2"/>
        </w:numPr>
        <w:spacing w:after="60"/>
      </w:pPr>
      <w:r>
        <w:rPr>
          <w:sz w:val="21"/>
          <w:szCs w:val="21"/>
        </w:rPr>
        <w:t xml:space="preserve">Limitation des finalités : les données ne sont traitées que pour les besoins de la gestion académique, administrative et financière des établissements.</w:t>
      </w:r>
    </w:p>
    <w:p>
      <w:pPr>
        <w:pStyle w:val="ListParagraph"/>
        <w:numPr>
          <w:ilvl w:val="0"/>
          <w:numId w:val="2"/>
        </w:numPr>
        <w:spacing w:after="60"/>
      </w:pPr>
      <w:r>
        <w:rPr>
          <w:sz w:val="21"/>
          <w:szCs w:val="21"/>
        </w:rPr>
        <w:t xml:space="preserve">Minimisation : seules les données nécessaires aux finalités poursuivies sont collectées.</w:t>
      </w:r>
    </w:p>
    <w:p>
      <w:pPr>
        <w:pStyle w:val="ListParagraph"/>
        <w:numPr>
          <w:ilvl w:val="0"/>
          <w:numId w:val="2"/>
        </w:numPr>
        <w:spacing w:after="60"/>
      </w:pPr>
      <w:r>
        <w:rPr>
          <w:sz w:val="21"/>
          <w:szCs w:val="21"/>
        </w:rPr>
        <w:t xml:space="preserve">Exactitude : les établissements disposent d’outils de mise à jour et de correction des dossiers.</w:t>
      </w:r>
    </w:p>
    <w:p>
      <w:pPr>
        <w:pStyle w:val="ListParagraph"/>
        <w:numPr>
          <w:ilvl w:val="0"/>
          <w:numId w:val="2"/>
        </w:numPr>
        <w:spacing w:after="60"/>
      </w:pPr>
      <w:r>
        <w:rPr>
          <w:sz w:val="21"/>
          <w:szCs w:val="21"/>
        </w:rPr>
        <w:t xml:space="preserve">Limitation de la conservation : des durées de conservation sont définies par catégorie de données (section 6) et des mécanismes de purge contrôlée sont intégrés à la Plateforme.</w:t>
      </w:r>
    </w:p>
    <w:p>
      <w:pPr>
        <w:pStyle w:val="ListParagraph"/>
        <w:numPr>
          <w:ilvl w:val="0"/>
          <w:numId w:val="2"/>
        </w:numPr>
        <w:spacing w:after="60"/>
      </w:pPr>
      <w:r>
        <w:rPr>
          <w:sz w:val="21"/>
          <w:szCs w:val="21"/>
        </w:rPr>
        <w:t xml:space="preserve">Intégrité et confidentialité : des mesures techniques et organisationnelles de sécurité sont mises en œuvre (section 8).</w:t>
      </w:r>
    </w:p>
    <w:p>
      <w:pPr>
        <w:pStyle w:val="Heading1"/>
        <w:spacing w:after="140" w:before="320"/>
      </w:pPr>
      <w:r>
        <w:rPr>
          <w:b/>
          <w:bCs/>
          <w:color w:val="1B2A4A"/>
          <w:sz w:val="26"/>
          <w:szCs w:val="26"/>
        </w:rPr>
        <w:t xml:space="preserve">3. Rôles et responsabilités</w:t>
      </w:r>
    </w:p>
    <w:p>
      <w:pPr>
        <w:spacing w:after="110"/>
        <w:jc w:val="both"/>
      </w:pPr>
      <w:r>
        <w:rPr>
          <w:sz w:val="21"/>
          <w:szCs w:val="21"/>
        </w:rPr>
        <w:t xml:space="preserve">Chaque établissement utilisateur de la Plateforme détermine les finalités et les moyens des traitements relatifs à ses étudiants, familles et personnels : il agit en qualité de responsable de traitement au sens de la loi n°2017-20.</w:t>
      </w:r>
    </w:p>
    <w:p>
      <w:pPr>
        <w:spacing w:after="110"/>
        <w:jc w:val="both"/>
      </w:pPr>
      <w:r>
        <w:rPr>
          <w:sz w:val="21"/>
          <w:szCs w:val="21"/>
        </w:rPr>
        <w:t xml:space="preserve">KINNOU Conseils et IA, éditeur de la Plateforme EduLink Sup, agit en qualité de sous-traitant : il traite les données pour le compte et sur instruction des établissements, dans le cadre du contrat de service qui les lie, et s’interdit toute utilisation des données à d’autres fins, notamment commerciales ou publicitaires.</w:t>
      </w:r>
    </w:p>
    <w:p>
      <w:pPr>
        <w:spacing w:after="110"/>
        <w:jc w:val="both"/>
      </w:pPr>
      <w:r>
        <w:rPr>
          <w:sz w:val="21"/>
          <w:szCs w:val="21"/>
        </w:rPr>
        <w:t xml:space="preserve">Les prestataires techniques auxquels l’éditeur recourt (hébergement, envoi de courriels, de SMS et de notifications) interviennent en qualité de sous-traitants ultérieurs, listés en section 9.</w:t>
      </w:r>
    </w:p>
    <w:p>
      <w:pPr>
        <w:pStyle w:val="Heading1"/>
        <w:spacing w:after="140" w:before="320"/>
      </w:pPr>
      <w:r>
        <w:rPr>
          <w:b/>
          <w:bCs/>
          <w:color w:val="1B2A4A"/>
          <w:sz w:val="26"/>
          <w:szCs w:val="26"/>
        </w:rPr>
        <w:t xml:space="preserve">4. Données traitées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B2A4A" w:val="clear"/>
            <w:tcMar>
              <w:top w:type="dxa" w:w="90"/>
              <w:left w:type="dxa" w:w="110"/>
              <w:bottom w:type="dxa" w:w="90"/>
              <w:right w:type="dxa" w:w="110"/>
            </w:tcMar>
          </w:tcPr>
          <w:p>
            <w:pPr>
              <w:spacing w:after="0"/>
            </w:pPr>
            <w:r>
              <w:rPr>
                <w:b/>
                <w:bCs/>
                <w:color w:val="FFFFFF"/>
                <w:sz w:val="19"/>
                <w:szCs w:val="19"/>
              </w:rPr>
              <w:t xml:space="preserve">Catégorie de personnes</w:t>
            </w:r>
          </w:p>
        </w:tc>
        <w:tc>
          <w:tcPr>
            <w:tcW w:type="dxa" w:w="6620"/>
            <w:shd w:fill="1B2A4A" w:val="clear"/>
            <w:tcMar>
              <w:top w:type="dxa" w:w="90"/>
              <w:left w:type="dxa" w:w="110"/>
              <w:bottom w:type="dxa" w:w="90"/>
              <w:right w:type="dxa" w:w="110"/>
            </w:tcMar>
          </w:tcPr>
          <w:p>
            <w:pPr>
              <w:spacing w:after="0"/>
            </w:pPr>
            <w:r>
              <w:rPr>
                <w:b/>
                <w:bCs/>
                <w:color w:val="FFFFFF"/>
                <w:sz w:val="19"/>
                <w:szCs w:val="19"/>
              </w:rPr>
              <w:t xml:space="preserve">Données traitées</w:t>
            </w:r>
          </w:p>
        </w:tc>
      </w:tr>
      <w:tr>
        <w:tc>
          <w:tcPr>
            <w:tcW w:type="dxa" w:w="2400"/>
            <w:tcMar>
              <w:top w:type="dxa" w:w="80"/>
              <w:left w:type="dxa" w:w="110"/>
              <w:bottom w:type="dxa" w:w="80"/>
              <w:right w:type="dxa" w:w="110"/>
            </w:tcMar>
          </w:tcPr>
          <w:p>
            <w:pPr>
              <w:spacing w:after="0"/>
            </w:pPr>
            <w:r>
              <w:rPr>
                <w:sz w:val="19"/>
                <w:szCs w:val="19"/>
              </w:rPr>
              <w:t xml:space="preserve">Étudiants</w:t>
            </w:r>
          </w:p>
        </w:tc>
        <w:tc>
          <w:tcPr>
            <w:tcW w:type="dxa" w:w="6620"/>
            <w:tcMar>
              <w:top w:type="dxa" w:w="80"/>
              <w:left w:type="dxa" w:w="110"/>
              <w:bottom w:type="dxa" w:w="80"/>
              <w:right w:type="dxa" w:w="110"/>
            </w:tcMar>
          </w:tcPr>
          <w:p>
            <w:pPr>
              <w:spacing w:after="0"/>
            </w:pPr>
            <w:r>
              <w:rPr>
                <w:sz w:val="19"/>
                <w:szCs w:val="19"/>
              </w:rPr>
              <w:t xml:space="preserve">Identité (nom, prénoms, matricule), coordonnées, filière, niveau et promotion, inscriptions, notes et résultats, relevés et procès-verbaux de délibération, présences et absences, situation financière (frais, paiements, relances), messages reçus via la Plateforme.</w:t>
            </w:r>
          </w:p>
        </w:tc>
      </w:tr>
      <w:tr>
        <w:tc>
          <w:tcPr>
            <w:tcW w:type="dxa" w:w="2400"/>
            <w:tcMar>
              <w:top w:type="dxa" w:w="80"/>
              <w:left w:type="dxa" w:w="110"/>
              <w:bottom w:type="dxa" w:w="80"/>
              <w:right w:type="dxa" w:w="110"/>
            </w:tcMar>
          </w:tcPr>
          <w:p>
            <w:pPr>
              <w:spacing w:after="0"/>
            </w:pPr>
            <w:r>
              <w:rPr>
                <w:sz w:val="19"/>
                <w:szCs w:val="19"/>
              </w:rPr>
              <w:t xml:space="preserve">Parents et tuteurs</w:t>
            </w:r>
          </w:p>
        </w:tc>
        <w:tc>
          <w:tcPr>
            <w:tcW w:type="dxa" w:w="6620"/>
            <w:tcMar>
              <w:top w:type="dxa" w:w="80"/>
              <w:left w:type="dxa" w:w="110"/>
              <w:bottom w:type="dxa" w:w="80"/>
              <w:right w:type="dxa" w:w="110"/>
            </w:tcMar>
          </w:tcPr>
          <w:p>
            <w:pPr>
              <w:spacing w:after="0"/>
            </w:pPr>
            <w:r>
              <w:rPr>
                <w:sz w:val="19"/>
                <w:szCs w:val="19"/>
              </w:rPr>
              <w:t xml:space="preserve">Identité, coordonnées (téléphone, courriel) déclarées par l’établissement aux fins d’information et de communication (résultats, absences, paiements, messages), identifiants de connexion au portail famille, jetons de notification.</w:t>
            </w:r>
          </w:p>
        </w:tc>
      </w:tr>
      <w:tr>
        <w:tc>
          <w:tcPr>
            <w:tcW w:type="dxa" w:w="2400"/>
            <w:tcMar>
              <w:top w:type="dxa" w:w="80"/>
              <w:left w:type="dxa" w:w="110"/>
              <w:bottom w:type="dxa" w:w="80"/>
              <w:right w:type="dxa" w:w="110"/>
            </w:tcMar>
          </w:tcPr>
          <w:p>
            <w:pPr>
              <w:spacing w:after="0"/>
            </w:pPr>
            <w:r>
              <w:rPr>
                <w:sz w:val="19"/>
                <w:szCs w:val="19"/>
              </w:rPr>
              <w:t xml:space="preserve">Personnels des établissements</w:t>
            </w:r>
          </w:p>
        </w:tc>
        <w:tc>
          <w:tcPr>
            <w:tcW w:type="dxa" w:w="6620"/>
            <w:tcMar>
              <w:top w:type="dxa" w:w="80"/>
              <w:left w:type="dxa" w:w="110"/>
              <w:bottom w:type="dxa" w:w="80"/>
              <w:right w:type="dxa" w:w="110"/>
            </w:tcMar>
          </w:tcPr>
          <w:p>
            <w:pPr>
              <w:spacing w:after="0"/>
            </w:pPr>
            <w:r>
              <w:rPr>
                <w:sz w:val="19"/>
                <w:szCs w:val="19"/>
              </w:rPr>
              <w:t xml:space="preserve">Identité, coordonnées professionnelles, rôle et habilitations, identifiants de connexion, journaux d’activité liés aux actions réalisées dans la Plateforme (audit).</w:t>
            </w:r>
          </w:p>
        </w:tc>
      </w:tr>
      <w:tr>
        <w:tc>
          <w:tcPr>
            <w:tcW w:type="dxa" w:w="2400"/>
            <w:tcMar>
              <w:top w:type="dxa" w:w="80"/>
              <w:left w:type="dxa" w:w="110"/>
              <w:bottom w:type="dxa" w:w="80"/>
              <w:right w:type="dxa" w:w="110"/>
            </w:tcMar>
          </w:tcPr>
          <w:p>
            <w:pPr>
              <w:spacing w:after="0"/>
            </w:pPr>
            <w:r>
              <w:rPr>
                <w:sz w:val="19"/>
                <w:szCs w:val="19"/>
              </w:rPr>
              <w:t xml:space="preserve">Données techniques</w:t>
            </w:r>
          </w:p>
        </w:tc>
        <w:tc>
          <w:tcPr>
            <w:tcW w:type="dxa" w:w="6620"/>
            <w:tcMar>
              <w:top w:type="dxa" w:w="80"/>
              <w:left w:type="dxa" w:w="110"/>
              <w:bottom w:type="dxa" w:w="80"/>
              <w:right w:type="dxa" w:w="110"/>
            </w:tcMar>
          </w:tcPr>
          <w:p>
            <w:pPr>
              <w:spacing w:after="0"/>
            </w:pPr>
            <w:r>
              <w:rPr>
                <w:sz w:val="19"/>
                <w:szCs w:val="19"/>
              </w:rPr>
              <w:t xml:space="preserve">Journaux de connexion et d’audit, journal des notifications envoyées (canal, statut de remise), données strictement nécessaires au fonctionnement et à la sécurité du service.</w:t>
            </w:r>
          </w:p>
        </w:tc>
      </w:tr>
    </w:tbl>
    <w:p>
      <w:pPr>
        <w:spacing w:after="140"/>
      </w:pPr>
    </w:p>
    <w:p>
      <w:pPr>
        <w:spacing w:after="110"/>
        <w:jc w:val="both"/>
      </w:pPr>
      <w:r>
        <w:rPr>
          <w:sz w:val="21"/>
          <w:szCs w:val="21"/>
        </w:rPr>
        <w:t xml:space="preserve">La Plateforme ne collecte aucune donnée sensible au sens de la loi n°2017-20 (origine ethnique, opinions politiques ou religieuses, santé, biométrie) et ne pratique aucun profilage automatisé produisant des effets juridiques à l’égard des personnes.</w:t>
      </w:r>
    </w:p>
    <w:p>
      <w:pPr>
        <w:pStyle w:val="Heading1"/>
        <w:spacing w:after="140" w:before="320"/>
      </w:pPr>
      <w:r>
        <w:rPr>
          <w:b/>
          <w:bCs/>
          <w:color w:val="1B2A4A"/>
          <w:sz w:val="26"/>
          <w:szCs w:val="26"/>
        </w:rPr>
        <w:t xml:space="preserve">5. Finalités et fondements des traitements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200"/>
        <w:gridCol w:w="3820"/>
      </w:tblGrid>
      <w:tr>
        <w:trPr>
          <w:tblHeader/>
        </w:trPr>
        <w:tc>
          <w:tcPr>
            <w:tcW w:type="dxa" w:w="5200"/>
            <w:shd w:fill="1B2A4A" w:val="clear"/>
            <w:tcMar>
              <w:top w:type="dxa" w:w="90"/>
              <w:left w:type="dxa" w:w="110"/>
              <w:bottom w:type="dxa" w:w="90"/>
              <w:right w:type="dxa" w:w="110"/>
            </w:tcMar>
          </w:tcPr>
          <w:p>
            <w:pPr>
              <w:spacing w:after="0"/>
            </w:pPr>
            <w:r>
              <w:rPr>
                <w:b/>
                <w:bCs/>
                <w:color w:val="FFFFFF"/>
                <w:sz w:val="19"/>
                <w:szCs w:val="19"/>
              </w:rPr>
              <w:t xml:space="preserve">Finalité</w:t>
            </w:r>
          </w:p>
        </w:tc>
        <w:tc>
          <w:tcPr>
            <w:tcW w:type="dxa" w:w="3820"/>
            <w:shd w:fill="1B2A4A" w:val="clear"/>
            <w:tcMar>
              <w:top w:type="dxa" w:w="90"/>
              <w:left w:type="dxa" w:w="110"/>
              <w:bottom w:type="dxa" w:w="90"/>
              <w:right w:type="dxa" w:w="110"/>
            </w:tcMar>
          </w:tcPr>
          <w:p>
            <w:pPr>
              <w:spacing w:after="0"/>
            </w:pPr>
            <w:r>
              <w:rPr>
                <w:b/>
                <w:bCs/>
                <w:color w:val="FFFFFF"/>
                <w:sz w:val="19"/>
                <w:szCs w:val="19"/>
              </w:rPr>
              <w:t xml:space="preserve">Fondement</w:t>
            </w:r>
          </w:p>
        </w:tc>
      </w:tr>
      <w:tr>
        <w:tc>
          <w:tcPr>
            <w:tcW w:type="dxa" w:w="5200"/>
            <w:tcMar>
              <w:top w:type="dxa" w:w="80"/>
              <w:left w:type="dxa" w:w="110"/>
              <w:bottom w:type="dxa" w:w="80"/>
              <w:right w:type="dxa" w:w="110"/>
            </w:tcMar>
          </w:tcPr>
          <w:p>
            <w:pPr>
              <w:spacing w:after="0"/>
            </w:pPr>
            <w:r>
              <w:rPr>
                <w:sz w:val="19"/>
                <w:szCs w:val="19"/>
              </w:rPr>
              <w:t xml:space="preserve">Gestion administrative et pédagogique de la scolarité (inscriptions, notes, délibérations, relevés officiels)</w:t>
            </w:r>
          </w:p>
        </w:tc>
        <w:tc>
          <w:tcPr>
            <w:tcW w:type="dxa" w:w="3820"/>
            <w:tcMar>
              <w:top w:type="dxa" w:w="80"/>
              <w:left w:type="dxa" w:w="110"/>
              <w:bottom w:type="dxa" w:w="80"/>
              <w:right w:type="dxa" w:w="110"/>
            </w:tcMar>
          </w:tcPr>
          <w:p>
            <w:pPr>
              <w:spacing w:after="0"/>
            </w:pPr>
            <w:r>
              <w:rPr>
                <w:sz w:val="19"/>
                <w:szCs w:val="19"/>
              </w:rPr>
              <w:t xml:space="preserve">Exécution de la mission d’enseignement de l’établissement et du contrat d’inscription.</w:t>
            </w:r>
          </w:p>
        </w:tc>
      </w:tr>
      <w:tr>
        <w:tc>
          <w:tcPr>
            <w:tcW w:type="dxa" w:w="5200"/>
            <w:tcMar>
              <w:top w:type="dxa" w:w="80"/>
              <w:left w:type="dxa" w:w="110"/>
              <w:bottom w:type="dxa" w:w="80"/>
              <w:right w:type="dxa" w:w="110"/>
            </w:tcMar>
          </w:tcPr>
          <w:p>
            <w:pPr>
              <w:spacing w:after="0"/>
            </w:pPr>
            <w:r>
              <w:rPr>
                <w:sz w:val="19"/>
                <w:szCs w:val="19"/>
              </w:rPr>
              <w:t xml:space="preserve">Gestion financière (frais de scolarité, paiements, reçus, relances)</w:t>
            </w:r>
          </w:p>
        </w:tc>
        <w:tc>
          <w:tcPr>
            <w:tcW w:type="dxa" w:w="3820"/>
            <w:tcMar>
              <w:top w:type="dxa" w:w="80"/>
              <w:left w:type="dxa" w:w="110"/>
              <w:bottom w:type="dxa" w:w="80"/>
              <w:right w:type="dxa" w:w="110"/>
            </w:tcMar>
          </w:tcPr>
          <w:p>
            <w:pPr>
              <w:spacing w:after="0"/>
            </w:pPr>
            <w:r>
              <w:rPr>
                <w:sz w:val="19"/>
                <w:szCs w:val="19"/>
              </w:rPr>
              <w:t xml:space="preserve">Exécution du contrat d’inscription et obligations comptables de l’établissement.</w:t>
            </w:r>
          </w:p>
        </w:tc>
      </w:tr>
      <w:tr>
        <w:tc>
          <w:tcPr>
            <w:tcW w:type="dxa" w:w="5200"/>
            <w:tcMar>
              <w:top w:type="dxa" w:w="80"/>
              <w:left w:type="dxa" w:w="110"/>
              <w:bottom w:type="dxa" w:w="80"/>
              <w:right w:type="dxa" w:w="110"/>
            </w:tcMar>
          </w:tcPr>
          <w:p>
            <w:pPr>
              <w:spacing w:after="0"/>
            </w:pPr>
            <w:r>
              <w:rPr>
                <w:sz w:val="19"/>
                <w:szCs w:val="19"/>
              </w:rPr>
              <w:t xml:space="preserve">Information des familles (résultats publiés, absences, échéances, messages officiels)</w:t>
            </w:r>
          </w:p>
        </w:tc>
        <w:tc>
          <w:tcPr>
            <w:tcW w:type="dxa" w:w="3820"/>
            <w:tcMar>
              <w:top w:type="dxa" w:w="80"/>
              <w:left w:type="dxa" w:w="110"/>
              <w:bottom w:type="dxa" w:w="80"/>
              <w:right w:type="dxa" w:w="110"/>
            </w:tcMar>
          </w:tcPr>
          <w:p>
            <w:pPr>
              <w:spacing w:after="0"/>
            </w:pPr>
            <w:r>
              <w:rPr>
                <w:sz w:val="19"/>
                <w:szCs w:val="19"/>
              </w:rPr>
              <w:t xml:space="preserve">Intérêt légitime de l’établissement et mission d’accompagnement des étudiants.</w:t>
            </w:r>
          </w:p>
        </w:tc>
      </w:tr>
      <w:tr>
        <w:tc>
          <w:tcPr>
            <w:tcW w:type="dxa" w:w="5200"/>
            <w:tcMar>
              <w:top w:type="dxa" w:w="80"/>
              <w:left w:type="dxa" w:w="110"/>
              <w:bottom w:type="dxa" w:w="80"/>
              <w:right w:type="dxa" w:w="110"/>
            </w:tcMar>
          </w:tcPr>
          <w:p>
            <w:pPr>
              <w:spacing w:after="0"/>
            </w:pPr>
            <w:r>
              <w:rPr>
                <w:sz w:val="19"/>
                <w:szCs w:val="19"/>
              </w:rPr>
              <w:t xml:space="preserve">Communications par courriel, SMS et notifications push</w:t>
            </w:r>
          </w:p>
        </w:tc>
        <w:tc>
          <w:tcPr>
            <w:tcW w:type="dxa" w:w="3820"/>
            <w:tcMar>
              <w:top w:type="dxa" w:w="80"/>
              <w:left w:type="dxa" w:w="110"/>
              <w:bottom w:type="dxa" w:w="80"/>
              <w:right w:type="dxa" w:w="110"/>
            </w:tcMar>
          </w:tcPr>
          <w:p>
            <w:pPr>
              <w:spacing w:after="0"/>
            </w:pPr>
            <w:r>
              <w:rPr>
                <w:sz w:val="19"/>
                <w:szCs w:val="19"/>
              </w:rPr>
              <w:t xml:space="preserve">Intérêt légitime ; paramétrage des modèles et journalisation des envois intégrés à la Plateforme.</w:t>
            </w:r>
          </w:p>
        </w:tc>
      </w:tr>
      <w:tr>
        <w:tc>
          <w:tcPr>
            <w:tcW w:type="dxa" w:w="5200"/>
            <w:tcMar>
              <w:top w:type="dxa" w:w="80"/>
              <w:left w:type="dxa" w:w="110"/>
              <w:bottom w:type="dxa" w:w="80"/>
              <w:right w:type="dxa" w:w="110"/>
            </w:tcMar>
          </w:tcPr>
          <w:p>
            <w:pPr>
              <w:spacing w:after="0"/>
            </w:pPr>
            <w:r>
              <w:rPr>
                <w:sz w:val="19"/>
                <w:szCs w:val="19"/>
              </w:rPr>
              <w:t xml:space="preserve">Sécurité de la Plateforme (authentification, double authentification des personnels, journaux d’audit)</w:t>
            </w:r>
          </w:p>
        </w:tc>
        <w:tc>
          <w:tcPr>
            <w:tcW w:type="dxa" w:w="3820"/>
            <w:tcMar>
              <w:top w:type="dxa" w:w="80"/>
              <w:left w:type="dxa" w:w="110"/>
              <w:bottom w:type="dxa" w:w="80"/>
              <w:right w:type="dxa" w:w="110"/>
            </w:tcMar>
          </w:tcPr>
          <w:p>
            <w:pPr>
              <w:spacing w:after="0"/>
            </w:pPr>
            <w:r>
              <w:rPr>
                <w:sz w:val="19"/>
                <w:szCs w:val="19"/>
              </w:rPr>
              <w:t xml:space="preserve">Obligation légale de sécurité et intérêt légitime.</w:t>
            </w:r>
          </w:p>
        </w:tc>
      </w:tr>
      <w:tr>
        <w:tc>
          <w:tcPr>
            <w:tcW w:type="dxa" w:w="5200"/>
            <w:tcMar>
              <w:top w:type="dxa" w:w="80"/>
              <w:left w:type="dxa" w:w="110"/>
              <w:bottom w:type="dxa" w:w="80"/>
              <w:right w:type="dxa" w:w="110"/>
            </w:tcMar>
          </w:tcPr>
          <w:p>
            <w:pPr>
              <w:spacing w:after="0"/>
            </w:pPr>
            <w:r>
              <w:rPr>
                <w:sz w:val="19"/>
                <w:szCs w:val="19"/>
              </w:rPr>
              <w:t xml:space="preserve">Conservation à valeur probatoire (messages officiels, résultats, pièces comptables)</w:t>
            </w:r>
          </w:p>
        </w:tc>
        <w:tc>
          <w:tcPr>
            <w:tcW w:type="dxa" w:w="3820"/>
            <w:tcMar>
              <w:top w:type="dxa" w:w="80"/>
              <w:left w:type="dxa" w:w="110"/>
              <w:bottom w:type="dxa" w:w="80"/>
              <w:right w:type="dxa" w:w="110"/>
            </w:tcMar>
          </w:tcPr>
          <w:p>
            <w:pPr>
              <w:spacing w:after="0"/>
            </w:pPr>
            <w:r>
              <w:rPr>
                <w:sz w:val="19"/>
                <w:szCs w:val="19"/>
              </w:rPr>
              <w:t xml:space="preserve">Obligations légales, notamment comptables (référentiel OHADA), et valeur probatoire académique.</w:t>
            </w:r>
          </w:p>
        </w:tc>
      </w:tr>
    </w:tbl>
    <w:p>
      <w:pPr>
        <w:pStyle w:val="Heading1"/>
        <w:spacing w:after="140" w:before="320"/>
      </w:pPr>
      <w:r>
        <w:rPr>
          <w:b/>
          <w:bCs/>
          <w:color w:val="1B2A4A"/>
          <w:sz w:val="26"/>
          <w:szCs w:val="26"/>
        </w:rPr>
        <w:t xml:space="preserve">6. Durées de conservation</w:t>
      </w:r>
    </w:p>
    <w:p>
      <w:pPr>
        <w:spacing w:after="110"/>
        <w:jc w:val="both"/>
      </w:pPr>
      <w:r>
        <w:rPr>
          <w:sz w:val="21"/>
          <w:szCs w:val="21"/>
        </w:rPr>
        <w:t xml:space="preserve">Les durées ci-dessous constituent le référentiel appliqué par défaut par la Plateforme. Chaque établissement, en sa qualité de responsable de traitement, peut les ajuster dans les limites du cadre légal ; la Plateforme intègre à cet effet une politique de conservation paramétrable par catégorie, un mécanisme de gel légal suspendant toute purge, et une purge contrôlée, tracée dans un journal dédié, avec prévisualisation obligatoire avant exécution.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0"/>
      </w:tblGrid>
      <w:tr>
        <w:trPr>
          <w:tblHeader/>
        </w:trPr>
        <w:tc>
          <w:tcPr>
            <w:tcW w:type="dxa" w:w="3400"/>
            <w:shd w:fill="1B2A4A" w:val="clear"/>
            <w:tcMar>
              <w:top w:type="dxa" w:w="90"/>
              <w:left w:type="dxa" w:w="110"/>
              <w:bottom w:type="dxa" w:w="90"/>
              <w:right w:type="dxa" w:w="110"/>
            </w:tcMar>
          </w:tcPr>
          <w:p>
            <w:pPr>
              <w:spacing w:after="0"/>
            </w:pPr>
            <w:r>
              <w:rPr>
                <w:b/>
                <w:bCs/>
                <w:color w:val="FFFFFF"/>
                <w:sz w:val="19"/>
                <w:szCs w:val="19"/>
              </w:rPr>
              <w:t xml:space="preserve">Catégorie de données</w:t>
            </w:r>
          </w:p>
        </w:tc>
        <w:tc>
          <w:tcPr>
            <w:tcW w:type="dxa" w:w="2400"/>
            <w:shd w:fill="1B2A4A" w:val="clear"/>
            <w:tcMar>
              <w:top w:type="dxa" w:w="90"/>
              <w:left w:type="dxa" w:w="110"/>
              <w:bottom w:type="dxa" w:w="90"/>
              <w:right w:type="dxa" w:w="110"/>
            </w:tcMar>
          </w:tcPr>
          <w:p>
            <w:pPr>
              <w:spacing w:after="0"/>
            </w:pPr>
            <w:r>
              <w:rPr>
                <w:b/>
                <w:bCs/>
                <w:color w:val="FFFFFF"/>
                <w:sz w:val="19"/>
                <w:szCs w:val="19"/>
              </w:rPr>
              <w:t xml:space="preserve">Durée de référence</w:t>
            </w:r>
          </w:p>
        </w:tc>
        <w:tc>
          <w:tcPr>
            <w:tcW w:type="dxa" w:w="3220"/>
            <w:shd w:fill="1B2A4A" w:val="clear"/>
            <w:tcMar>
              <w:top w:type="dxa" w:w="90"/>
              <w:left w:type="dxa" w:w="110"/>
              <w:bottom w:type="dxa" w:w="90"/>
              <w:right w:type="dxa" w:w="110"/>
            </w:tcMar>
          </w:tcPr>
          <w:p>
            <w:pPr>
              <w:spacing w:after="0"/>
            </w:pPr>
            <w:r>
              <w:rPr>
                <w:b/>
                <w:bCs/>
                <w:color w:val="FFFFFF"/>
                <w:sz w:val="19"/>
                <w:szCs w:val="19"/>
              </w:rPr>
              <w:t xml:space="preserve">Observation</w:t>
            </w:r>
          </w:p>
        </w:tc>
      </w:tr>
      <w:tr>
        <w:tc>
          <w:tcPr>
            <w:tcW w:type="dxa" w:w="3400"/>
            <w:tcMar>
              <w:top w:type="dxa" w:w="80"/>
              <w:left w:type="dxa" w:w="110"/>
              <w:bottom w:type="dxa" w:w="80"/>
              <w:right w:type="dxa" w:w="110"/>
            </w:tcMar>
          </w:tcPr>
          <w:p>
            <w:pPr>
              <w:spacing w:after="0"/>
            </w:pPr>
            <w:r>
              <w:rPr>
                <w:sz w:val="19"/>
                <w:szCs w:val="19"/>
              </w:rPr>
              <w:t xml:space="preserve">Dossier de scolarité (identité, inscriptions, présences)</w:t>
            </w:r>
          </w:p>
        </w:tc>
        <w:tc>
          <w:tcPr>
            <w:tcW w:type="dxa" w:w="2400"/>
            <w:tcMar>
              <w:top w:type="dxa" w:w="80"/>
              <w:left w:type="dxa" w:w="110"/>
              <w:bottom w:type="dxa" w:w="80"/>
              <w:right w:type="dxa" w:w="110"/>
            </w:tcMar>
          </w:tcPr>
          <w:p>
            <w:pPr>
              <w:spacing w:after="0"/>
            </w:pPr>
            <w:r>
              <w:rPr>
                <w:sz w:val="19"/>
                <w:szCs w:val="19"/>
              </w:rPr>
              <w:t xml:space="preserve">Durée de la scolarité + 10 ans</w:t>
            </w:r>
          </w:p>
        </w:tc>
        <w:tc>
          <w:tcPr>
            <w:tcW w:type="dxa" w:w="3220"/>
            <w:tcMar>
              <w:top w:type="dxa" w:w="80"/>
              <w:left w:type="dxa" w:w="110"/>
              <w:bottom w:type="dxa" w:w="80"/>
              <w:right w:type="dxa" w:w="110"/>
            </w:tcMar>
          </w:tcPr>
          <w:p>
            <w:pPr>
              <w:spacing w:after="0"/>
            </w:pPr>
            <w:r>
              <w:rPr>
                <w:sz w:val="19"/>
                <w:szCs w:val="19"/>
              </w:rPr>
              <w:t xml:space="preserve">Suivi des parcours et contentieux éventuels.</w:t>
            </w:r>
          </w:p>
        </w:tc>
      </w:tr>
      <w:tr>
        <w:tc>
          <w:tcPr>
            <w:tcW w:type="dxa" w:w="3400"/>
            <w:tcMar>
              <w:top w:type="dxa" w:w="80"/>
              <w:left w:type="dxa" w:w="110"/>
              <w:bottom w:type="dxa" w:w="80"/>
              <w:right w:type="dxa" w:w="110"/>
            </w:tcMar>
          </w:tcPr>
          <w:p>
            <w:pPr>
              <w:spacing w:after="0"/>
            </w:pPr>
            <w:r>
              <w:rPr>
                <w:sz w:val="19"/>
                <w:szCs w:val="19"/>
              </w:rPr>
              <w:t xml:space="preserve">Résultats, relevés officiels, procès-verbaux de délibération</w:t>
            </w:r>
          </w:p>
        </w:tc>
        <w:tc>
          <w:tcPr>
            <w:tcW w:type="dxa" w:w="2400"/>
            <w:tcMar>
              <w:top w:type="dxa" w:w="80"/>
              <w:left w:type="dxa" w:w="110"/>
              <w:bottom w:type="dxa" w:w="80"/>
              <w:right w:type="dxa" w:w="110"/>
            </w:tcMar>
          </w:tcPr>
          <w:p>
            <w:pPr>
              <w:spacing w:after="0"/>
            </w:pPr>
            <w:r>
              <w:rPr>
                <w:sz w:val="19"/>
                <w:szCs w:val="19"/>
              </w:rPr>
              <w:t xml:space="preserve">Conservation longue durée</w:t>
            </w:r>
          </w:p>
        </w:tc>
        <w:tc>
          <w:tcPr>
            <w:tcW w:type="dxa" w:w="3220"/>
            <w:tcMar>
              <w:top w:type="dxa" w:w="80"/>
              <w:left w:type="dxa" w:w="110"/>
              <w:bottom w:type="dxa" w:w="80"/>
              <w:right w:type="dxa" w:w="110"/>
            </w:tcMar>
          </w:tcPr>
          <w:p>
            <w:pPr>
              <w:spacing w:after="0"/>
            </w:pPr>
            <w:r>
              <w:rPr>
                <w:sz w:val="19"/>
                <w:szCs w:val="19"/>
              </w:rPr>
              <w:t xml:space="preserve">Valeur probatoire académique des diplômes et parcours.</w:t>
            </w:r>
          </w:p>
        </w:tc>
      </w:tr>
      <w:tr>
        <w:tc>
          <w:tcPr>
            <w:tcW w:type="dxa" w:w="3400"/>
            <w:tcMar>
              <w:top w:type="dxa" w:w="80"/>
              <w:left w:type="dxa" w:w="110"/>
              <w:bottom w:type="dxa" w:w="80"/>
              <w:right w:type="dxa" w:w="110"/>
            </w:tcMar>
          </w:tcPr>
          <w:p>
            <w:pPr>
              <w:spacing w:after="0"/>
            </w:pPr>
            <w:r>
              <w:rPr>
                <w:sz w:val="19"/>
                <w:szCs w:val="19"/>
              </w:rPr>
              <w:t xml:space="preserve">Données financières (paiements, reçus, relances)</w:t>
            </w:r>
          </w:p>
        </w:tc>
        <w:tc>
          <w:tcPr>
            <w:tcW w:type="dxa" w:w="2400"/>
            <w:tcMar>
              <w:top w:type="dxa" w:w="80"/>
              <w:left w:type="dxa" w:w="110"/>
              <w:bottom w:type="dxa" w:w="80"/>
              <w:right w:type="dxa" w:w="110"/>
            </w:tcMar>
          </w:tcPr>
          <w:p>
            <w:pPr>
              <w:spacing w:after="0"/>
            </w:pPr>
            <w:r>
              <w:rPr>
                <w:sz w:val="19"/>
                <w:szCs w:val="19"/>
              </w:rPr>
              <w:t xml:space="preserve">10 ans</w:t>
            </w:r>
          </w:p>
        </w:tc>
        <w:tc>
          <w:tcPr>
            <w:tcW w:type="dxa" w:w="3220"/>
            <w:tcMar>
              <w:top w:type="dxa" w:w="80"/>
              <w:left w:type="dxa" w:w="110"/>
              <w:bottom w:type="dxa" w:w="80"/>
              <w:right w:type="dxa" w:w="110"/>
            </w:tcMar>
          </w:tcPr>
          <w:p>
            <w:pPr>
              <w:spacing w:after="0"/>
            </w:pPr>
            <w:r>
              <w:rPr>
                <w:sz w:val="19"/>
                <w:szCs w:val="19"/>
              </w:rPr>
              <w:t xml:space="preserve">Alignement sur les obligations comptables (référentiel OHADA).</w:t>
            </w:r>
          </w:p>
        </w:tc>
      </w:tr>
      <w:tr>
        <w:tc>
          <w:tcPr>
            <w:tcW w:type="dxa" w:w="3400"/>
            <w:tcMar>
              <w:top w:type="dxa" w:w="80"/>
              <w:left w:type="dxa" w:w="110"/>
              <w:bottom w:type="dxa" w:w="80"/>
              <w:right w:type="dxa" w:w="110"/>
            </w:tcMar>
          </w:tcPr>
          <w:p>
            <w:pPr>
              <w:spacing w:after="0"/>
            </w:pPr>
            <w:r>
              <w:rPr>
                <w:sz w:val="19"/>
                <w:szCs w:val="19"/>
              </w:rPr>
              <w:t xml:space="preserve">Messagerie interne — messages courants</w:t>
            </w:r>
          </w:p>
        </w:tc>
        <w:tc>
          <w:tcPr>
            <w:tcW w:type="dxa" w:w="2400"/>
            <w:tcMar>
              <w:top w:type="dxa" w:w="80"/>
              <w:left w:type="dxa" w:w="110"/>
              <w:bottom w:type="dxa" w:w="80"/>
              <w:right w:type="dxa" w:w="110"/>
            </w:tcMar>
          </w:tcPr>
          <w:p>
            <w:pPr>
              <w:spacing w:after="0"/>
            </w:pPr>
            <w:r>
              <w:rPr>
                <w:sz w:val="19"/>
                <w:szCs w:val="19"/>
              </w:rPr>
              <w:t xml:space="preserve">2 ans après archivage</w:t>
            </w:r>
          </w:p>
        </w:tc>
        <w:tc>
          <w:tcPr>
            <w:tcW w:type="dxa" w:w="3220"/>
            <w:tcMar>
              <w:top w:type="dxa" w:w="80"/>
              <w:left w:type="dxa" w:w="110"/>
              <w:bottom w:type="dxa" w:w="80"/>
              <w:right w:type="dxa" w:w="110"/>
            </w:tcMar>
          </w:tcPr>
          <w:p>
            <w:pPr>
              <w:spacing w:after="0"/>
            </w:pPr>
            <w:r>
              <w:rPr>
                <w:sz w:val="19"/>
                <w:szCs w:val="19"/>
              </w:rPr>
              <w:t xml:space="preserve">Purge contrôlée intégrée à la Plateforme.</w:t>
            </w:r>
          </w:p>
        </w:tc>
      </w:tr>
      <w:tr>
        <w:tc>
          <w:tcPr>
            <w:tcW w:type="dxa" w:w="3400"/>
            <w:tcMar>
              <w:top w:type="dxa" w:w="80"/>
              <w:left w:type="dxa" w:w="110"/>
              <w:bottom w:type="dxa" w:w="80"/>
              <w:right w:type="dxa" w:w="110"/>
            </w:tcMar>
          </w:tcPr>
          <w:p>
            <w:pPr>
              <w:spacing w:after="0"/>
            </w:pPr>
            <w:r>
              <w:rPr>
                <w:sz w:val="19"/>
                <w:szCs w:val="19"/>
              </w:rPr>
              <w:t xml:space="preserve">Messagerie interne — messages officiels et financiers</w:t>
            </w:r>
          </w:p>
        </w:tc>
        <w:tc>
          <w:tcPr>
            <w:tcW w:type="dxa" w:w="2400"/>
            <w:tcMar>
              <w:top w:type="dxa" w:w="80"/>
              <w:left w:type="dxa" w:w="110"/>
              <w:bottom w:type="dxa" w:w="80"/>
              <w:right w:type="dxa" w:w="110"/>
            </w:tcMar>
          </w:tcPr>
          <w:p>
            <w:pPr>
              <w:spacing w:after="0"/>
            </w:pPr>
            <w:r>
              <w:rPr>
                <w:sz w:val="19"/>
                <w:szCs w:val="19"/>
              </w:rPr>
              <w:t xml:space="preserve">10 ans après archivage</w:t>
            </w:r>
          </w:p>
        </w:tc>
        <w:tc>
          <w:tcPr>
            <w:tcW w:type="dxa" w:w="3220"/>
            <w:tcMar>
              <w:top w:type="dxa" w:w="80"/>
              <w:left w:type="dxa" w:w="110"/>
              <w:bottom w:type="dxa" w:w="80"/>
              <w:right w:type="dxa" w:w="110"/>
            </w:tcMar>
          </w:tcPr>
          <w:p>
            <w:pPr>
              <w:spacing w:after="0"/>
            </w:pPr>
            <w:r>
              <w:rPr>
                <w:sz w:val="19"/>
                <w:szCs w:val="19"/>
              </w:rPr>
              <w:t xml:space="preserve">Valeur probatoire ; accusés de lecture horodatés conservés avec le message.</w:t>
            </w:r>
          </w:p>
        </w:tc>
      </w:tr>
      <w:tr>
        <w:tc>
          <w:tcPr>
            <w:tcW w:type="dxa" w:w="3400"/>
            <w:tcMar>
              <w:top w:type="dxa" w:w="80"/>
              <w:left w:type="dxa" w:w="110"/>
              <w:bottom w:type="dxa" w:w="80"/>
              <w:right w:type="dxa" w:w="110"/>
            </w:tcMar>
          </w:tcPr>
          <w:p>
            <w:pPr>
              <w:spacing w:after="0"/>
            </w:pPr>
            <w:r>
              <w:rPr>
                <w:sz w:val="19"/>
                <w:szCs w:val="19"/>
              </w:rPr>
              <w:t xml:space="preserve">Journal des notifications (courriel, SMS, push)</w:t>
            </w:r>
          </w:p>
        </w:tc>
        <w:tc>
          <w:tcPr>
            <w:tcW w:type="dxa" w:w="2400"/>
            <w:tcMar>
              <w:top w:type="dxa" w:w="80"/>
              <w:left w:type="dxa" w:w="110"/>
              <w:bottom w:type="dxa" w:w="80"/>
              <w:right w:type="dxa" w:w="110"/>
            </w:tcMar>
          </w:tcPr>
          <w:p>
            <w:pPr>
              <w:spacing w:after="0"/>
            </w:pPr>
            <w:r>
              <w:rPr>
                <w:sz w:val="19"/>
                <w:szCs w:val="19"/>
              </w:rPr>
              <w:t xml:space="preserve">2 ans</w:t>
            </w:r>
          </w:p>
        </w:tc>
        <w:tc>
          <w:tcPr>
            <w:tcW w:type="dxa" w:w="3220"/>
            <w:tcMar>
              <w:top w:type="dxa" w:w="80"/>
              <w:left w:type="dxa" w:w="110"/>
              <w:bottom w:type="dxa" w:w="80"/>
              <w:right w:type="dxa" w:w="110"/>
            </w:tcMar>
          </w:tcPr>
          <w:p>
            <w:pPr>
              <w:spacing w:after="0"/>
            </w:pPr>
            <w:r>
              <w:rPr>
                <w:sz w:val="19"/>
                <w:szCs w:val="19"/>
              </w:rPr>
              <w:t xml:space="preserve">Preuve de l’information des familles.</w:t>
            </w:r>
          </w:p>
        </w:tc>
      </w:tr>
      <w:tr>
        <w:tc>
          <w:tcPr>
            <w:tcW w:type="dxa" w:w="3400"/>
            <w:tcMar>
              <w:top w:type="dxa" w:w="80"/>
              <w:left w:type="dxa" w:w="110"/>
              <w:bottom w:type="dxa" w:w="80"/>
              <w:right w:type="dxa" w:w="110"/>
            </w:tcMar>
          </w:tcPr>
          <w:p>
            <w:pPr>
              <w:spacing w:after="0"/>
            </w:pPr>
            <w:r>
              <w:rPr>
                <w:sz w:val="19"/>
                <w:szCs w:val="19"/>
              </w:rPr>
              <w:t xml:space="preserve">Comptes et habilitations des personnels</w:t>
            </w:r>
          </w:p>
        </w:tc>
        <w:tc>
          <w:tcPr>
            <w:tcW w:type="dxa" w:w="2400"/>
            <w:tcMar>
              <w:top w:type="dxa" w:w="80"/>
              <w:left w:type="dxa" w:w="110"/>
              <w:bottom w:type="dxa" w:w="80"/>
              <w:right w:type="dxa" w:w="110"/>
            </w:tcMar>
          </w:tcPr>
          <w:p>
            <w:pPr>
              <w:spacing w:after="0"/>
            </w:pPr>
            <w:r>
              <w:rPr>
                <w:sz w:val="19"/>
                <w:szCs w:val="19"/>
              </w:rPr>
              <w:t xml:space="preserve">Durée des fonctions + 2 ans</w:t>
            </w:r>
          </w:p>
        </w:tc>
        <w:tc>
          <w:tcPr>
            <w:tcW w:type="dxa" w:w="3220"/>
            <w:tcMar>
              <w:top w:type="dxa" w:w="80"/>
              <w:left w:type="dxa" w:w="110"/>
              <w:bottom w:type="dxa" w:w="80"/>
              <w:right w:type="dxa" w:w="110"/>
            </w:tcMar>
          </w:tcPr>
          <w:p>
            <w:pPr>
              <w:spacing w:after="0"/>
            </w:pPr>
            <w:r>
              <w:rPr>
                <w:sz w:val="19"/>
                <w:szCs w:val="19"/>
              </w:rPr>
              <w:t xml:space="preserve">Journaux d’audit conservés séparément.</w:t>
            </w:r>
          </w:p>
        </w:tc>
      </w:tr>
      <w:tr>
        <w:tc>
          <w:tcPr>
            <w:tcW w:type="dxa" w:w="3400"/>
            <w:tcMar>
              <w:top w:type="dxa" w:w="80"/>
              <w:left w:type="dxa" w:w="110"/>
              <w:bottom w:type="dxa" w:w="80"/>
              <w:right w:type="dxa" w:w="110"/>
            </w:tcMar>
          </w:tcPr>
          <w:p>
            <w:pPr>
              <w:spacing w:after="0"/>
            </w:pPr>
            <w:r>
              <w:rPr>
                <w:sz w:val="19"/>
                <w:szCs w:val="19"/>
              </w:rPr>
              <w:t xml:space="preserve">Journaux techniques et d’audit</w:t>
            </w:r>
          </w:p>
        </w:tc>
        <w:tc>
          <w:tcPr>
            <w:tcW w:type="dxa" w:w="2400"/>
            <w:tcMar>
              <w:top w:type="dxa" w:w="80"/>
              <w:left w:type="dxa" w:w="110"/>
              <w:bottom w:type="dxa" w:w="80"/>
              <w:right w:type="dxa" w:w="110"/>
            </w:tcMar>
          </w:tcPr>
          <w:p>
            <w:pPr>
              <w:spacing w:after="0"/>
            </w:pPr>
            <w:r>
              <w:rPr>
                <w:sz w:val="19"/>
                <w:szCs w:val="19"/>
              </w:rPr>
              <w:t xml:space="preserve">5 ans</w:t>
            </w:r>
          </w:p>
        </w:tc>
        <w:tc>
          <w:tcPr>
            <w:tcW w:type="dxa" w:w="3220"/>
            <w:tcMar>
              <w:top w:type="dxa" w:w="80"/>
              <w:left w:type="dxa" w:w="110"/>
              <w:bottom w:type="dxa" w:w="80"/>
              <w:right w:type="dxa" w:w="110"/>
            </w:tcMar>
          </w:tcPr>
          <w:p>
            <w:pPr>
              <w:spacing w:after="0"/>
            </w:pPr>
            <w:r>
              <w:rPr>
                <w:sz w:val="19"/>
                <w:szCs w:val="19"/>
              </w:rPr>
              <w:t xml:space="preserve">Traçabilité des actions sensibles.</w:t>
            </w:r>
          </w:p>
        </w:tc>
      </w:tr>
      <w:tr>
        <w:tc>
          <w:tcPr>
            <w:tcW w:type="dxa" w:w="3400"/>
            <w:tcMar>
              <w:top w:type="dxa" w:w="80"/>
              <w:left w:type="dxa" w:w="110"/>
              <w:bottom w:type="dxa" w:w="80"/>
              <w:right w:type="dxa" w:w="110"/>
            </w:tcMar>
          </w:tcPr>
          <w:p>
            <w:pPr>
              <w:spacing w:after="0"/>
            </w:pPr>
            <w:r>
              <w:rPr>
                <w:sz w:val="19"/>
                <w:szCs w:val="19"/>
              </w:rPr>
              <w:t xml:space="preserve">Coordonnées des parents et tuteurs</w:t>
            </w:r>
          </w:p>
        </w:tc>
        <w:tc>
          <w:tcPr>
            <w:tcW w:type="dxa" w:w="2400"/>
            <w:tcMar>
              <w:top w:type="dxa" w:w="80"/>
              <w:left w:type="dxa" w:w="110"/>
              <w:bottom w:type="dxa" w:w="80"/>
              <w:right w:type="dxa" w:w="110"/>
            </w:tcMar>
          </w:tcPr>
          <w:p>
            <w:pPr>
              <w:spacing w:after="0"/>
            </w:pPr>
            <w:r>
              <w:rPr>
                <w:sz w:val="19"/>
                <w:szCs w:val="19"/>
              </w:rPr>
              <w:t xml:space="preserve">Durée de la scolarité de l’étudiant + 2 ans</w:t>
            </w:r>
          </w:p>
        </w:tc>
        <w:tc>
          <w:tcPr>
            <w:tcW w:type="dxa" w:w="3220"/>
            <w:tcMar>
              <w:top w:type="dxa" w:w="80"/>
              <w:left w:type="dxa" w:w="110"/>
              <w:bottom w:type="dxa" w:w="80"/>
              <w:right w:type="dxa" w:w="110"/>
            </w:tcMar>
          </w:tcPr>
          <w:p>
            <w:pPr>
              <w:spacing w:after="0"/>
            </w:pPr>
            <w:r>
              <w:rPr>
                <w:sz w:val="19"/>
                <w:szCs w:val="19"/>
              </w:rPr>
              <w:t xml:space="preserve">Supprimées ou anonymisées ensuite.</w:t>
            </w:r>
          </w:p>
        </w:tc>
      </w:tr>
    </w:tbl>
    <w:p>
      <w:pPr>
        <w:pStyle w:val="Heading1"/>
        <w:spacing w:after="140" w:before="320"/>
      </w:pPr>
      <w:r>
        <w:rPr>
          <w:b/>
          <w:bCs/>
          <w:color w:val="1B2A4A"/>
          <w:sz w:val="26"/>
          <w:szCs w:val="26"/>
        </w:rPr>
        <w:t xml:space="preserve">7. Droits des personnes concernées</w:t>
      </w:r>
    </w:p>
    <w:p>
      <w:pPr>
        <w:spacing w:after="110"/>
        <w:jc w:val="both"/>
      </w:pPr>
      <w:r>
        <w:rPr>
          <w:sz w:val="21"/>
          <w:szCs w:val="21"/>
        </w:rPr>
        <w:t xml:space="preserve">Conformément à la loi n°2017-20, toute personne concernée dispose des droits d’information, d’accès, de rectification, d’opposition pour motif légitime, et de suppression des données ne répondant plus aux finalités du traitement, dans les limites des obligations légales de conservation rappelées ci-dessus.</w:t>
      </w:r>
    </w:p>
    <w:p>
      <w:pPr>
        <w:spacing w:after="110"/>
        <w:jc w:val="both"/>
      </w:pPr>
      <w:r>
        <w:rPr>
          <w:sz w:val="21"/>
          <w:szCs w:val="21"/>
        </w:rPr>
        <w:t xml:space="preserve">Ces droits s’exercent en premier lieu auprès de l’établissement d’inscription, responsable de traitement, qui dispose dans la Plateforme des outils nécessaires pour y répondre (consultation, correction, suppression, gel). L’éditeur prête assistance à l’établissement pour toute demande le nécessitant, via les coordonnées de contact publiées sur le site edulink.bj. En cas de difficulté persistante, la personne concernée peut saisir l’APDP.</w:t>
      </w:r>
    </w:p>
    <w:p>
      <w:pPr>
        <w:pStyle w:val="Heading1"/>
        <w:spacing w:after="140" w:before="320"/>
      </w:pPr>
      <w:r>
        <w:rPr>
          <w:b/>
          <w:bCs/>
          <w:color w:val="1B2A4A"/>
          <w:sz w:val="26"/>
          <w:szCs w:val="26"/>
        </w:rPr>
        <w:t xml:space="preserve">8. Sécurité des données</w:t>
      </w:r>
    </w:p>
    <w:p>
      <w:pPr>
        <w:spacing w:after="110"/>
        <w:jc w:val="both"/>
      </w:pPr>
      <w:r>
        <w:rPr>
          <w:sz w:val="21"/>
          <w:szCs w:val="21"/>
        </w:rPr>
        <w:t xml:space="preserve">La Plateforme met en œuvre notamment les mesures suivantes :</w:t>
      </w:r>
    </w:p>
    <w:p>
      <w:pPr>
        <w:pStyle w:val="ListParagraph"/>
        <w:numPr>
          <w:ilvl w:val="0"/>
          <w:numId w:val="2"/>
        </w:numPr>
        <w:spacing w:after="60"/>
      </w:pPr>
      <w:r>
        <w:rPr>
          <w:sz w:val="21"/>
          <w:szCs w:val="21"/>
        </w:rPr>
        <w:t xml:space="preserve">Chiffrement des échanges (TLS) sur l’ensemble des services.</w:t>
      </w:r>
    </w:p>
    <w:p>
      <w:pPr>
        <w:pStyle w:val="ListParagraph"/>
        <w:numPr>
          <w:ilvl w:val="0"/>
          <w:numId w:val="2"/>
        </w:numPr>
        <w:spacing w:after="60"/>
      </w:pPr>
      <w:r>
        <w:rPr>
          <w:sz w:val="21"/>
          <w:szCs w:val="21"/>
        </w:rPr>
        <w:t xml:space="preserve">Cloisonnement strict des données par établissement (politiques d’accès au niveau de la base de données) et contrôle d’accès par rôle.</w:t>
      </w:r>
    </w:p>
    <w:p>
      <w:pPr>
        <w:pStyle w:val="ListParagraph"/>
        <w:numPr>
          <w:ilvl w:val="0"/>
          <w:numId w:val="2"/>
        </w:numPr>
        <w:spacing w:after="60"/>
      </w:pPr>
      <w:r>
        <w:rPr>
          <w:sz w:val="21"/>
          <w:szCs w:val="21"/>
        </w:rPr>
        <w:t xml:space="preserve">Double authentification (OTP) pour les comptes des personnels.</w:t>
      </w:r>
    </w:p>
    <w:p>
      <w:pPr>
        <w:pStyle w:val="ListParagraph"/>
        <w:numPr>
          <w:ilvl w:val="0"/>
          <w:numId w:val="2"/>
        </w:numPr>
        <w:spacing w:after="60"/>
      </w:pPr>
      <w:r>
        <w:rPr>
          <w:sz w:val="21"/>
          <w:szCs w:val="21"/>
        </w:rPr>
        <w:t xml:space="preserve">Stockage des pièces jointes dans des espaces privés, accessibles uniquement par liens signés à durée limitée, avec liste blanche de formats et plafond de taille.</w:t>
      </w:r>
    </w:p>
    <w:p>
      <w:pPr>
        <w:pStyle w:val="ListParagraph"/>
        <w:numPr>
          <w:ilvl w:val="0"/>
          <w:numId w:val="2"/>
        </w:numPr>
        <w:spacing w:after="60"/>
      </w:pPr>
      <w:r>
        <w:rPr>
          <w:sz w:val="21"/>
          <w:szCs w:val="21"/>
        </w:rPr>
        <w:t xml:space="preserve">Journalisation d’audit des actions sensibles et journal des envois de notifications.</w:t>
      </w:r>
    </w:p>
    <w:p>
      <w:pPr>
        <w:pStyle w:val="ListParagraph"/>
        <w:numPr>
          <w:ilvl w:val="0"/>
          <w:numId w:val="2"/>
        </w:numPr>
        <w:spacing w:after="60"/>
      </w:pPr>
      <w:r>
        <w:rPr>
          <w:sz w:val="21"/>
          <w:szCs w:val="21"/>
        </w:rPr>
        <w:t xml:space="preserve">Validation hiérarchique des messages officiels, gel légal et purge tracée avec prévisualisation obligatoire.</w:t>
      </w:r>
    </w:p>
    <w:p>
      <w:pPr>
        <w:pStyle w:val="ListParagraph"/>
        <w:numPr>
          <w:ilvl w:val="0"/>
          <w:numId w:val="2"/>
        </w:numPr>
        <w:spacing w:after="60"/>
      </w:pPr>
      <w:r>
        <w:rPr>
          <w:sz w:val="21"/>
          <w:szCs w:val="21"/>
        </w:rPr>
        <w:t xml:space="preserve">Supervision technique et remontée automatique des erreurs applicatives.</w:t>
      </w:r>
    </w:p>
    <w:p>
      <w:pPr>
        <w:pStyle w:val="Heading1"/>
        <w:spacing w:after="140" w:before="320"/>
      </w:pPr>
      <w:r>
        <w:rPr>
          <w:b/>
          <w:bCs/>
          <w:color w:val="1B2A4A"/>
          <w:sz w:val="26"/>
          <w:szCs w:val="26"/>
        </w:rPr>
        <w:t xml:space="preserve">9. Prestataires techniques et transferts hors du Bénin</w:t>
      </w:r>
    </w:p>
    <w:p>
      <w:pPr>
        <w:spacing w:after="110"/>
        <w:jc w:val="both"/>
      </w:pPr>
      <w:r>
        <w:rPr>
          <w:sz w:val="21"/>
          <w:szCs w:val="21"/>
        </w:rPr>
        <w:t xml:space="preserve">Le fonctionnement de la Plateforme repose sur des prestataires spécialisés, chacun lié par des engagements contractuels de confidentialité et de sécurité. Certaines données sont, de ce fait, hébergées ou transitent hors du territoire béninois ; ces transferts sont encadrés conformément au régime des transferts internationaux prévu par la loi n°2017-20 et les référentiels de l’APDP.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0"/>
      </w:tblGrid>
      <w:tr>
        <w:trPr>
          <w:tblHeader/>
        </w:trPr>
        <w:tc>
          <w:tcPr>
            <w:tcW w:type="dxa" w:w="2200"/>
            <w:shd w:fill="1B2A4A" w:val="clear"/>
            <w:tcMar>
              <w:top w:type="dxa" w:w="90"/>
              <w:left w:type="dxa" w:w="110"/>
              <w:bottom w:type="dxa" w:w="90"/>
              <w:right w:type="dxa" w:w="110"/>
            </w:tcMar>
          </w:tcPr>
          <w:p>
            <w:pPr>
              <w:spacing w:after="0"/>
            </w:pPr>
            <w:r>
              <w:rPr>
                <w:b/>
                <w:bCs/>
                <w:color w:val="FFFFFF"/>
                <w:sz w:val="19"/>
                <w:szCs w:val="19"/>
              </w:rPr>
              <w:t xml:space="preserve">Prestataire</w:t>
            </w:r>
          </w:p>
        </w:tc>
        <w:tc>
          <w:tcPr>
            <w:tcW w:type="dxa" w:w="4400"/>
            <w:shd w:fill="1B2A4A" w:val="clear"/>
            <w:tcMar>
              <w:top w:type="dxa" w:w="90"/>
              <w:left w:type="dxa" w:w="110"/>
              <w:bottom w:type="dxa" w:w="90"/>
              <w:right w:type="dxa" w:w="110"/>
            </w:tcMar>
          </w:tcPr>
          <w:p>
            <w:pPr>
              <w:spacing w:after="0"/>
            </w:pPr>
            <w:r>
              <w:rPr>
                <w:b/>
                <w:bCs/>
                <w:color w:val="FFFFFF"/>
                <w:sz w:val="19"/>
                <w:szCs w:val="19"/>
              </w:rPr>
              <w:t xml:space="preserve">Rôle</w:t>
            </w:r>
          </w:p>
        </w:tc>
        <w:tc>
          <w:tcPr>
            <w:tcW w:type="dxa" w:w="2420"/>
            <w:shd w:fill="1B2A4A" w:val="clear"/>
            <w:tcMar>
              <w:top w:type="dxa" w:w="90"/>
              <w:left w:type="dxa" w:w="110"/>
              <w:bottom w:type="dxa" w:w="90"/>
              <w:right w:type="dxa" w:w="110"/>
            </w:tcMar>
          </w:tcPr>
          <w:p>
            <w:pPr>
              <w:spacing w:after="0"/>
            </w:pPr>
            <w:r>
              <w:rPr>
                <w:b/>
                <w:bCs/>
                <w:color w:val="FFFFFF"/>
                <w:sz w:val="19"/>
                <w:szCs w:val="19"/>
              </w:rPr>
              <w:t xml:space="preserve">Localisation</w:t>
            </w:r>
          </w:p>
        </w:tc>
      </w:tr>
      <w:tr>
        <w:tc>
          <w:tcPr>
            <w:tcW w:type="dxa" w:w="2200"/>
            <w:tcMar>
              <w:top w:type="dxa" w:w="80"/>
              <w:left w:type="dxa" w:w="110"/>
              <w:bottom w:type="dxa" w:w="80"/>
              <w:right w:type="dxa" w:w="110"/>
            </w:tcMar>
          </w:tcPr>
          <w:p>
            <w:pPr>
              <w:spacing w:after="0"/>
            </w:pPr>
            <w:r>
              <w:rPr>
                <w:sz w:val="19"/>
                <w:szCs w:val="19"/>
              </w:rPr>
              <w:t xml:space="preserve">Supabase</w:t>
            </w:r>
          </w:p>
        </w:tc>
        <w:tc>
          <w:tcPr>
            <w:tcW w:type="dxa" w:w="4400"/>
            <w:tcMar>
              <w:top w:type="dxa" w:w="80"/>
              <w:left w:type="dxa" w:w="110"/>
              <w:bottom w:type="dxa" w:w="80"/>
              <w:right w:type="dxa" w:w="110"/>
            </w:tcMar>
          </w:tcPr>
          <w:p>
            <w:pPr>
              <w:spacing w:after="0"/>
            </w:pPr>
            <w:r>
              <w:rPr>
                <w:sz w:val="19"/>
                <w:szCs w:val="19"/>
              </w:rPr>
              <w:t xml:space="preserve">Hébergement de la base de données, authentification, stockage des fichiers</w:t>
            </w:r>
          </w:p>
        </w:tc>
        <w:tc>
          <w:tcPr>
            <w:tcW w:type="dxa" w:w="2420"/>
            <w:tcMar>
              <w:top w:type="dxa" w:w="80"/>
              <w:left w:type="dxa" w:w="110"/>
              <w:bottom w:type="dxa" w:w="80"/>
              <w:right w:type="dxa" w:w="110"/>
            </w:tcMar>
          </w:tcPr>
          <w:p>
            <w:pPr>
              <w:spacing w:after="0"/>
            </w:pPr>
            <w:r>
              <w:rPr>
                <w:sz w:val="19"/>
                <w:szCs w:val="19"/>
              </w:rPr>
              <w:t xml:space="preserve">Union européenne</w:t>
            </w:r>
          </w:p>
        </w:tc>
      </w:tr>
      <w:tr>
        <w:tc>
          <w:tcPr>
            <w:tcW w:type="dxa" w:w="2200"/>
            <w:tcMar>
              <w:top w:type="dxa" w:w="80"/>
              <w:left w:type="dxa" w:w="110"/>
              <w:bottom w:type="dxa" w:w="80"/>
              <w:right w:type="dxa" w:w="110"/>
            </w:tcMar>
          </w:tcPr>
          <w:p>
            <w:pPr>
              <w:spacing w:after="0"/>
            </w:pPr>
            <w:r>
              <w:rPr>
                <w:sz w:val="19"/>
                <w:szCs w:val="19"/>
              </w:rPr>
              <w:t xml:space="preserve">Vercel</w:t>
            </w:r>
          </w:p>
        </w:tc>
        <w:tc>
          <w:tcPr>
            <w:tcW w:type="dxa" w:w="4400"/>
            <w:tcMar>
              <w:top w:type="dxa" w:w="80"/>
              <w:left w:type="dxa" w:w="110"/>
              <w:bottom w:type="dxa" w:w="80"/>
              <w:right w:type="dxa" w:w="110"/>
            </w:tcMar>
          </w:tcPr>
          <w:p>
            <w:pPr>
              <w:spacing w:after="0"/>
            </w:pPr>
            <w:r>
              <w:rPr>
                <w:sz w:val="19"/>
                <w:szCs w:val="19"/>
              </w:rPr>
              <w:t xml:space="preserve">Hébergement des applications web</w:t>
            </w:r>
          </w:p>
        </w:tc>
        <w:tc>
          <w:tcPr>
            <w:tcW w:type="dxa" w:w="2420"/>
            <w:tcMar>
              <w:top w:type="dxa" w:w="80"/>
              <w:left w:type="dxa" w:w="110"/>
              <w:bottom w:type="dxa" w:w="80"/>
              <w:right w:type="dxa" w:w="110"/>
            </w:tcMar>
          </w:tcPr>
          <w:p>
            <w:pPr>
              <w:spacing w:after="0"/>
            </w:pPr>
            <w:r>
              <w:rPr>
                <w:sz w:val="19"/>
                <w:szCs w:val="19"/>
              </w:rPr>
              <w:t xml:space="preserve">Union européenne / États-Unis (CDN)</w:t>
            </w:r>
          </w:p>
        </w:tc>
      </w:tr>
      <w:tr>
        <w:tc>
          <w:tcPr>
            <w:tcW w:type="dxa" w:w="2200"/>
            <w:tcMar>
              <w:top w:type="dxa" w:w="80"/>
              <w:left w:type="dxa" w:w="110"/>
              <w:bottom w:type="dxa" w:w="80"/>
              <w:right w:type="dxa" w:w="110"/>
            </w:tcMar>
          </w:tcPr>
          <w:p>
            <w:pPr>
              <w:spacing w:after="0"/>
            </w:pPr>
            <w:r>
              <w:rPr>
                <w:sz w:val="19"/>
                <w:szCs w:val="19"/>
              </w:rPr>
              <w:t xml:space="preserve">Brevo</w:t>
            </w:r>
          </w:p>
        </w:tc>
        <w:tc>
          <w:tcPr>
            <w:tcW w:type="dxa" w:w="4400"/>
            <w:tcMar>
              <w:top w:type="dxa" w:w="80"/>
              <w:left w:type="dxa" w:w="110"/>
              <w:bottom w:type="dxa" w:w="80"/>
              <w:right w:type="dxa" w:w="110"/>
            </w:tcMar>
          </w:tcPr>
          <w:p>
            <w:pPr>
              <w:spacing w:after="0"/>
            </w:pPr>
            <w:r>
              <w:rPr>
                <w:sz w:val="19"/>
                <w:szCs w:val="19"/>
              </w:rPr>
              <w:t xml:space="preserve">Envoi des courriels transactionnels</w:t>
            </w:r>
          </w:p>
        </w:tc>
        <w:tc>
          <w:tcPr>
            <w:tcW w:type="dxa" w:w="2420"/>
            <w:tcMar>
              <w:top w:type="dxa" w:w="80"/>
              <w:left w:type="dxa" w:w="110"/>
              <w:bottom w:type="dxa" w:w="80"/>
              <w:right w:type="dxa" w:w="110"/>
            </w:tcMar>
          </w:tcPr>
          <w:p>
            <w:pPr>
              <w:spacing w:after="0"/>
            </w:pPr>
            <w:r>
              <w:rPr>
                <w:sz w:val="19"/>
                <w:szCs w:val="19"/>
              </w:rPr>
              <w:t xml:space="preserve">Union européenne</w:t>
            </w:r>
          </w:p>
        </w:tc>
      </w:tr>
      <w:tr>
        <w:tc>
          <w:tcPr>
            <w:tcW w:type="dxa" w:w="2200"/>
            <w:tcMar>
              <w:top w:type="dxa" w:w="80"/>
              <w:left w:type="dxa" w:w="110"/>
              <w:bottom w:type="dxa" w:w="80"/>
              <w:right w:type="dxa" w:w="110"/>
            </w:tcMar>
          </w:tcPr>
          <w:p>
            <w:pPr>
              <w:spacing w:after="0"/>
            </w:pPr>
            <w:r>
              <w:rPr>
                <w:sz w:val="19"/>
                <w:szCs w:val="19"/>
              </w:rPr>
              <w:t xml:space="preserve">Twilio</w:t>
            </w:r>
          </w:p>
        </w:tc>
        <w:tc>
          <w:tcPr>
            <w:tcW w:type="dxa" w:w="4400"/>
            <w:tcMar>
              <w:top w:type="dxa" w:w="80"/>
              <w:left w:type="dxa" w:w="110"/>
              <w:bottom w:type="dxa" w:w="80"/>
              <w:right w:type="dxa" w:w="110"/>
            </w:tcMar>
          </w:tcPr>
          <w:p>
            <w:pPr>
              <w:spacing w:after="0"/>
            </w:pPr>
            <w:r>
              <w:rPr>
                <w:sz w:val="19"/>
                <w:szCs w:val="19"/>
              </w:rPr>
              <w:t xml:space="preserve">Envoi des SMS</w:t>
            </w:r>
          </w:p>
        </w:tc>
        <w:tc>
          <w:tcPr>
            <w:tcW w:type="dxa" w:w="2420"/>
            <w:tcMar>
              <w:top w:type="dxa" w:w="80"/>
              <w:left w:type="dxa" w:w="110"/>
              <w:bottom w:type="dxa" w:w="80"/>
              <w:right w:type="dxa" w:w="110"/>
            </w:tcMar>
          </w:tcPr>
          <w:p>
            <w:pPr>
              <w:spacing w:after="0"/>
            </w:pPr>
            <w:r>
              <w:rPr>
                <w:sz w:val="19"/>
                <w:szCs w:val="19"/>
              </w:rPr>
              <w:t xml:space="preserve">États-Unis</w:t>
            </w:r>
          </w:p>
        </w:tc>
      </w:tr>
      <w:tr>
        <w:tc>
          <w:tcPr>
            <w:tcW w:type="dxa" w:w="2200"/>
            <w:tcMar>
              <w:top w:type="dxa" w:w="80"/>
              <w:left w:type="dxa" w:w="110"/>
              <w:bottom w:type="dxa" w:w="80"/>
              <w:right w:type="dxa" w:w="110"/>
            </w:tcMar>
          </w:tcPr>
          <w:p>
            <w:pPr>
              <w:spacing w:after="0"/>
            </w:pPr>
            <w:r>
              <w:rPr>
                <w:sz w:val="19"/>
                <w:szCs w:val="19"/>
              </w:rPr>
              <w:t xml:space="preserve">Google Firebase</w:t>
            </w:r>
          </w:p>
        </w:tc>
        <w:tc>
          <w:tcPr>
            <w:tcW w:type="dxa" w:w="4400"/>
            <w:tcMar>
              <w:top w:type="dxa" w:w="80"/>
              <w:left w:type="dxa" w:w="110"/>
              <w:bottom w:type="dxa" w:w="80"/>
              <w:right w:type="dxa" w:w="110"/>
            </w:tcMar>
          </w:tcPr>
          <w:p>
            <w:pPr>
              <w:spacing w:after="0"/>
            </w:pPr>
            <w:r>
              <w:rPr>
                <w:sz w:val="19"/>
                <w:szCs w:val="19"/>
              </w:rPr>
              <w:t xml:space="preserve">Notifications push</w:t>
            </w:r>
          </w:p>
        </w:tc>
        <w:tc>
          <w:tcPr>
            <w:tcW w:type="dxa" w:w="2420"/>
            <w:tcMar>
              <w:top w:type="dxa" w:w="80"/>
              <w:left w:type="dxa" w:w="110"/>
              <w:bottom w:type="dxa" w:w="80"/>
              <w:right w:type="dxa" w:w="110"/>
            </w:tcMar>
          </w:tcPr>
          <w:p>
            <w:pPr>
              <w:spacing w:after="0"/>
            </w:pPr>
            <w:r>
              <w:rPr>
                <w:sz w:val="19"/>
                <w:szCs w:val="19"/>
              </w:rPr>
              <w:t xml:space="preserve">États-Unis</w:t>
            </w:r>
          </w:p>
        </w:tc>
      </w:tr>
      <w:tr>
        <w:tc>
          <w:tcPr>
            <w:tcW w:type="dxa" w:w="2200"/>
            <w:tcMar>
              <w:top w:type="dxa" w:w="80"/>
              <w:left w:type="dxa" w:w="110"/>
              <w:bottom w:type="dxa" w:w="80"/>
              <w:right w:type="dxa" w:w="110"/>
            </w:tcMar>
          </w:tcPr>
          <w:p>
            <w:pPr>
              <w:spacing w:after="0"/>
            </w:pPr>
            <w:r>
              <w:rPr>
                <w:sz w:val="19"/>
                <w:szCs w:val="19"/>
              </w:rPr>
              <w:t xml:space="preserve">Sentry</w:t>
            </w:r>
          </w:p>
        </w:tc>
        <w:tc>
          <w:tcPr>
            <w:tcW w:type="dxa" w:w="4400"/>
            <w:tcMar>
              <w:top w:type="dxa" w:w="80"/>
              <w:left w:type="dxa" w:w="110"/>
              <w:bottom w:type="dxa" w:w="80"/>
              <w:right w:type="dxa" w:w="110"/>
            </w:tcMar>
          </w:tcPr>
          <w:p>
            <w:pPr>
              <w:spacing w:after="0"/>
            </w:pPr>
            <w:r>
              <w:rPr>
                <w:sz w:val="19"/>
                <w:szCs w:val="19"/>
              </w:rPr>
              <w:t xml:space="preserve">Supervision des erreurs applicatives (données techniques)</w:t>
            </w:r>
          </w:p>
        </w:tc>
        <w:tc>
          <w:tcPr>
            <w:tcW w:type="dxa" w:w="2420"/>
            <w:tcMar>
              <w:top w:type="dxa" w:w="80"/>
              <w:left w:type="dxa" w:w="110"/>
              <w:bottom w:type="dxa" w:w="80"/>
              <w:right w:type="dxa" w:w="110"/>
            </w:tcMar>
          </w:tcPr>
          <w:p>
            <w:pPr>
              <w:spacing w:after="0"/>
            </w:pPr>
            <w:r>
              <w:rPr>
                <w:sz w:val="19"/>
                <w:szCs w:val="19"/>
              </w:rPr>
              <w:t xml:space="preserve">Union européenne</w:t>
            </w:r>
          </w:p>
        </w:tc>
      </w:tr>
    </w:tbl>
    <w:p>
      <w:pPr>
        <w:pStyle w:val="Heading1"/>
        <w:spacing w:after="140" w:before="320"/>
      </w:pPr>
      <w:r>
        <w:rPr>
          <w:b/>
          <w:bCs/>
          <w:color w:val="1B2A4A"/>
          <w:sz w:val="26"/>
          <w:szCs w:val="26"/>
        </w:rPr>
        <w:t xml:space="preserve">10. Violations de données</w:t>
      </w:r>
    </w:p>
    <w:p>
      <w:pPr>
        <w:spacing w:after="110"/>
        <w:jc w:val="both"/>
      </w:pPr>
      <w:r>
        <w:rPr>
          <w:sz w:val="21"/>
          <w:szCs w:val="21"/>
        </w:rPr>
        <w:t xml:space="preserve">En cas de violation de données à caractère personnel (accès non autorisé, perte, altération), l’éditeur en informe sans délai les établissements concernés et leur apporte les éléments nécessaires à la notification de l’APDP et, le cas échéant, à l’information des personnes concernées, conformément aux exigences du Code du numérique.</w:t>
      </w:r>
    </w:p>
    <w:p>
      <w:pPr>
        <w:pStyle w:val="Heading1"/>
        <w:spacing w:after="140" w:before="320"/>
      </w:pPr>
      <w:r>
        <w:rPr>
          <w:b/>
          <w:bCs/>
          <w:color w:val="1B2A4A"/>
          <w:sz w:val="26"/>
          <w:szCs w:val="26"/>
        </w:rPr>
        <w:t xml:space="preserve">11. Étudiants mineurs</w:t>
      </w:r>
    </w:p>
    <w:p>
      <w:pPr>
        <w:spacing w:after="110"/>
        <w:jc w:val="both"/>
      </w:pPr>
      <w:r>
        <w:rPr>
          <w:sz w:val="21"/>
          <w:szCs w:val="21"/>
        </w:rPr>
        <w:t xml:space="preserve">Lorsqu’un étudiant est mineur au moment de son inscription, les communications de la Plateforme sont adressées à ses parents ou tuteurs légaux, et l’exercice de ses droits s’effectue par leur intermédiaire jusqu’à sa majorité.</w:t>
      </w:r>
    </w:p>
    <w:p>
      <w:pPr>
        <w:pStyle w:val="Heading1"/>
        <w:spacing w:after="140" w:before="320"/>
      </w:pPr>
      <w:r>
        <w:rPr>
          <w:b/>
          <w:bCs/>
          <w:color w:val="1B2A4A"/>
          <w:sz w:val="26"/>
          <w:szCs w:val="26"/>
        </w:rPr>
        <w:t xml:space="preserve">12. Formalités, gouvernance et mise à jour</w:t>
      </w:r>
    </w:p>
    <w:p>
      <w:pPr>
        <w:spacing w:after="110"/>
        <w:jc w:val="both"/>
      </w:pPr>
      <w:r>
        <w:rPr>
          <w:sz w:val="21"/>
          <w:szCs w:val="21"/>
        </w:rPr>
        <w:t xml:space="preserve">L’éditeur accompagne chaque établissement dans l’accomplissement des formalités préalables requises auprès de l’APDP pour les traitements mis en œuvre via la Plateforme, et tient à jour la documentation des traitements, des durées de conservation et des mesures de sécurité.</w:t>
      </w:r>
    </w:p>
    <w:p>
      <w:pPr>
        <w:spacing w:after="110"/>
        <w:jc w:val="both"/>
      </w:pPr>
      <w:r>
        <w:rPr>
          <w:sz w:val="21"/>
          <w:szCs w:val="21"/>
        </w:rPr>
        <w:t xml:space="preserve">La présente politique est revue à chaque évolution significative de la Plateforme ou du cadre juridique. La version en vigueur, datée et numérotée, est publiée sur le site edulink.bj et tenue à disposition des établissements et des personnes concernées.</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2026-08-08T13:32:58.179Z</dcterms:created>
  <dcterms:modified xsi:type="dcterms:W3CDTF">2026-08-08T13:32:58.197Z</dcterms:modified>
</cp:coreProperties>
</file>

<file path=docProps/custom.xml><?xml version="1.0" encoding="utf-8"?>
<Properties xmlns="http://schemas.openxmlformats.org/officeDocument/2006/custom-properties" xmlns:vt="http://schemas.openxmlformats.org/officeDocument/2006/docPropsVTypes"/>
</file>