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algun Gothic" w:cs="Malgun Gothic" w:eastAsia="Malgun Gothic" w:hAnsi="Malgun Gothic"/>
        </w:rPr>
        <w:t xml:space="preserve">ARIA 표준 MRI 프로토콜 권고안 — 목차형 정리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출처</w:t>
      </w:r>
      <w:r>
        <w:rPr>
          <w:rFonts w:ascii="Malgun Gothic" w:cs="Malgun Gothic" w:eastAsia="Malgun Gothic" w:hAnsi="Malgun Gothic"/>
        </w:rPr>
        <w:t xml:space="preserve">: Kim J, Kim E, Park M, et al.; KSNR ANDI Study Group. Amyloid-Related Imaging Abnormalities in Anti-Amyloid Monoclonal Antibody Therapy for Alzheimer's Disease: Expert Recommendation for Standard MRI Protocol. J Korean Soc Radiol 2025;86(1):34-44. doi:10.3348/jksr.2024.0147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66666"/>
        </w:rPr>
        <w:t xml:space="preserve">※ 논문 본문(p.34–42)만 근거로 정리함. Supplementary Table 1–4는 미포함.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Ⅰ. 배경 (서론)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AD 치료의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AD 병리: 세포외 아밀로이드 단백 축적과 세포내 타우 단백 축적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2023년 이후 FDA 승인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Lecanemab (Leqembi®, 레켐비)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Donanemab (Kisunla®, 키순라)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국내: </w:t>
      </w:r>
      <w:r>
        <w:rPr>
          <w:rFonts w:ascii="Malgun Gothic" w:cs="Malgun Gothic" w:eastAsia="Malgun Gothic" w:hAnsi="Malgun Gothic"/>
          <w:b/>
          <w:bCs/>
        </w:rPr>
        <w:t xml:space="preserve">2024년 5월 lecanemab 식약처 승인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Lecanemab 근거 (Clarity AD, 3상)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대상: amyloid PET 양성, MMSE 22–30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결과: 아밀로이드 침착 의미 있게 감소, 인지기능 악화 </w:t>
      </w:r>
      <w:r>
        <w:rPr>
          <w:rFonts w:ascii="Malgun Gothic" w:cs="Malgun Gothic" w:eastAsia="Malgun Gothic" w:hAnsi="Malgun Gothic"/>
          <w:b/>
          <w:bCs/>
        </w:rPr>
        <w:t xml:space="preserve">27% 지연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사용 권장 대상: 뇌아밀로이드 바이오마커(PET 또는 CSF) 양성 +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AD에 의한 경도인지장애(MCI)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경도 AD 치매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ARIA 개념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ARIA-E</w:t>
      </w:r>
      <w:r>
        <w:rPr>
          <w:rFonts w:ascii="Malgun Gothic" w:cs="Malgun Gothic" w:eastAsia="Malgun Gothic" w:hAnsi="Malgun Gothic"/>
        </w:rPr>
        <w:t xml:space="preserve">: edema, effusion (부종 및 고랑 삼출물)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ARIA-H</w:t>
      </w:r>
      <w:r>
        <w:rPr>
          <w:rFonts w:ascii="Malgun Gothic" w:cs="Malgun Gothic" w:eastAsia="Malgun Gothic" w:hAnsi="Malgun Gothic"/>
        </w:rPr>
        <w:t xml:space="preserve">: hemorrhage (미세출혈 및 표재철침착증)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2세대 항체: 아밀로이드 제거 효율 증가 → ARIA 위험도 증가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권고안의 필요성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대한치매학회 권고안 외에 </w:t>
      </w:r>
      <w:r>
        <w:rPr>
          <w:rFonts w:ascii="Malgun Gothic" w:cs="Malgun Gothic" w:eastAsia="Malgun Gothic" w:hAnsi="Malgun Gothic"/>
          <w:b/>
          <w:bCs/>
        </w:rPr>
        <w:t xml:space="preserve">MRI 모니터링에 대한 한국형 권고안 부재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Ⅱ. 방법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작성 주체</w:t>
      </w:r>
      <w:r>
        <w:rPr>
          <w:rFonts w:ascii="Malgun Gothic" w:cs="Malgun Gothic" w:eastAsia="Malgun Gothic" w:hAnsi="Malgun Gothic"/>
        </w:rPr>
        <w:t xml:space="preserve">: 대한신경두경부영상의학회(KSNR) 진료지침위원회 + 퇴행성신경질환영상연구회(ANDI)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위원</w:t>
      </w:r>
      <w:r>
        <w:rPr>
          <w:rFonts w:ascii="Malgun Gothic" w:cs="Malgun Gothic" w:eastAsia="Malgun Gothic" w:hAnsi="Malgun Gothic"/>
        </w:rPr>
        <w:t xml:space="preserve">: 전문가 11명 (임상시험 참여 또는 치료 후 영상 판독 경험)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과정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2024년 9월 위원회 구성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10월, 11월 2차례 회의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Delphi 설문</w:t>
      </w:r>
      <w:r>
        <w:rPr>
          <w:rFonts w:ascii="Malgun Gothic" w:cs="Malgun Gothic" w:eastAsia="Malgun Gothic" w:hAnsi="Malgun Gothic"/>
        </w:rPr>
        <w:t xml:space="preserve">으로 최종안 도출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참고 자료</w:t>
      </w:r>
      <w:r>
        <w:rPr>
          <w:rFonts w:ascii="Malgun Gothic" w:cs="Malgun Gothic" w:eastAsia="Malgun Gothic" w:hAnsi="Malgun Gothic"/>
        </w:rPr>
        <w:t xml:space="preserve">: lecanemab 임상시험, 한국 식약처, 미국 FDA, 일본 후생노동성, ASNR 권고안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Ⅲ. 필수 MRI 시퀀스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FLAIR → ARIA-E 평가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고품질 영상을 통상적으로 얻을 수 있으면 </w:t>
      </w:r>
      <w:r>
        <w:rPr>
          <w:rFonts w:ascii="Malgun Gothic" w:cs="Malgun Gothic" w:eastAsia="Malgun Gothic" w:hAnsi="Malgun Gothic"/>
          <w:b/>
          <w:bCs/>
        </w:rPr>
        <w:t xml:space="preserve">3D FLAIR 권장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기관 사정에 따라 </w:t>
      </w:r>
      <w:r>
        <w:rPr>
          <w:rFonts w:ascii="Malgun Gothic" w:cs="Malgun Gothic" w:eastAsia="Malgun Gothic" w:hAnsi="Malgun Gothic"/>
          <w:b/>
          <w:bCs/>
        </w:rPr>
        <w:t xml:space="preserve">2D FLAIR 허용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2D/3D 모두 최선의 화질 + 최적의 CSF signal suppression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임상시험: axial 2D FLAIR 사용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3D FLAIR 장점: CSF 억제 우수, 실질 부종 민감도 증가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T2*-GRE → ARIA-H 평가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기본: **EPI가 아닌 conventional 2D T2*-GRE**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가능하면 </w:t>
      </w:r>
      <w:r>
        <w:rPr>
          <w:rFonts w:ascii="Malgun Gothic" w:cs="Malgun Gothic" w:eastAsia="Malgun Gothic" w:hAnsi="Malgun Gothic"/>
          <w:b/>
          <w:bCs/>
        </w:rPr>
        <w:t xml:space="preserve">SWI 동시 획득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ASNR 입장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임상시험에서 axial GRE 사용 → 실제 임상도 2D GRE 기본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SWI가 GRE를 대체할 수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국내 상황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SWI는 2D GRE 대비 민감도·정확도 우수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SWI 촬영 가능한 기관 다수 → GRE와 함께 SWI 추가 시 이점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TE: 3T에서 15–20 ms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DWI → 경색 감별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추적 중 발생 가능한 급성·아급성 경색과 ARIA-E 감별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Axial 2D DWI</w:t>
      </w:r>
      <w:r>
        <w:rPr>
          <w:rFonts w:ascii="Malgun Gothic" w:cs="Malgun Gothic" w:eastAsia="Malgun Gothic" w:hAnsi="Malgun Gothic"/>
        </w:rPr>
        <w:t xml:space="preserve">를 표준 프로토콜에 포함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DTI를 통상 촬영 시 </w:t>
      </w:r>
      <w:r>
        <w:rPr>
          <w:rFonts w:ascii="Malgun Gothic" w:cs="Malgun Gothic" w:eastAsia="Malgun Gothic" w:hAnsi="Malgun Gothic"/>
          <w:b/>
          <w:bCs/>
        </w:rPr>
        <w:t xml:space="preserve">DWI trace + ADC map 제공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공통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절편 두께 ≤5 mm</w:t>
      </w:r>
      <w:r>
        <w:rPr>
          <w:rFonts w:ascii="Malgun Gothic" w:cs="Malgun Gothic" w:eastAsia="Malgun Gothic" w:hAnsi="Malgun Gothic"/>
        </w:rPr>
        <w:t xml:space="preserve"> (ASNR: ≤4 mm)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검사 시간 ≤15분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제조사별 기본 프로토콜(2D T2-FLAIR, T2*-GRE, DWI) 제공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ASNR 웹페이지 및 제조사 웹페이지에 게시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환자 선별, baseline, 모든 추적검사에서 필수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Ⅳ. 추가 시퀀스 (선택)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조영증강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ARIA 모니터링에는 불필요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증상 발생 시 타 질환 감별 목적으로 필요 시 촬영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Volumetry</w:t>
      </w:r>
      <w:r>
        <w:rPr>
          <w:rFonts w:ascii="Malgun Gothic" w:cs="Malgun Gothic" w:eastAsia="Malgun Gothic" w:hAnsi="Malgun Gothic"/>
        </w:rPr>
        <w:t xml:space="preserve">: 치매·타 퇴행성질환 동반 평가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T2 TSE/FSE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미세출혈 vs flow void 구별에 도움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치료 등록 전 baseline에 추가 고려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모든 추가 시퀀스도 MRI 품질관리 기준 충족 필요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Ⅴ. 일관된 프로토콜의 중요성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매 검사 </w:t>
      </w:r>
      <w:r>
        <w:rPr>
          <w:rFonts w:ascii="Malgun Gothic" w:cs="Malgun Gothic" w:eastAsia="Malgun Gothic" w:hAnsi="Malgun Gothic"/>
          <w:b/>
          <w:bCs/>
        </w:rPr>
        <w:t xml:space="preserve">동일 시퀀스, 동일 자장세기, 동일 제조사, 동일 모델</w:t>
      </w:r>
      <w:r>
        <w:rPr>
          <w:rFonts w:ascii="Malgun Gothic" w:cs="Malgun Gothic" w:eastAsia="Malgun Gothic" w:hAnsi="Malgun Gothic"/>
        </w:rPr>
        <w:t xml:space="preserve"> 권장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자장세기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3T 권장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부득이한 경우 </w:t>
      </w:r>
      <w:r>
        <w:rPr>
          <w:rFonts w:ascii="Malgun Gothic" w:cs="Malgun Gothic" w:eastAsia="Malgun Gothic" w:hAnsi="Malgun Gothic"/>
          <w:b/>
          <w:bCs/>
        </w:rPr>
        <w:t xml:space="preserve">최소 1.5T 이상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3T: SNR 향상 → 작은 미세출혈, ARIA-E 감지 우수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동일 기기 불가 시 판독의는 기기 차이가 ARIA 평가에 미치는 영향 고려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Ⅵ. 치료 등록 단계 고려사항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배제해야 하는 경우</w:t>
      </w:r>
      <w:r>
        <w:rPr>
          <w:rFonts w:ascii="Malgun Gothic" w:cs="Malgun Gothic" w:eastAsia="Malgun Gothic" w:hAnsi="Malgun Gothic"/>
        </w:rPr>
        <w:t xml:space="preserve">: MRI 금기 금속물질 등 MRI 금기사항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배제될 수 있는 경우</w:t>
      </w:r>
      <w:r>
        <w:rPr>
          <w:rFonts w:ascii="Malgun Gothic" w:cs="Malgun Gothic" w:eastAsia="Malgun Gothic" w:hAnsi="Malgun Gothic"/>
        </w:rPr>
        <w:t xml:space="preserve">: 정기 MRI 일정에 영향을 주는 제한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조건부 MRI 기기 (예: 심장박동기)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촬영 중 감독 필요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폐소공포증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Ⅶ. MRI 촬영 시점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치료 등록 전 Baseline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3–6개월 이내</w:t>
      </w:r>
      <w:r>
        <w:rPr>
          <w:rFonts w:ascii="Malgun Gothic" w:cs="Malgun Gothic" w:eastAsia="Malgun Gothic" w:hAnsi="Malgun Gothic"/>
        </w:rPr>
        <w:t xml:space="preserve"> 촬영이 이상적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적절한 프로토콜의 </w:t>
      </w:r>
      <w:r>
        <w:rPr>
          <w:rFonts w:ascii="Malgun Gothic" w:cs="Malgun Gothic" w:eastAsia="Malgun Gothic" w:hAnsi="Malgun Gothic"/>
          <w:b/>
          <w:bCs/>
        </w:rPr>
        <w:t xml:space="preserve">1년 이내 MRI</w:t>
      </w:r>
      <w:r>
        <w:rPr>
          <w:rFonts w:ascii="Malgun Gothic" w:cs="Malgun Gothic" w:eastAsia="Malgun Gothic" w:hAnsi="Malgun Gothic"/>
        </w:rPr>
        <w:t xml:space="preserve">로 대체 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반복 검사 권유 가능한 경우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7–12개월 전 MRI에서 미세출혈 ≤4개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기존 미세출혈 → 추가 미세출혈 위험 증가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치료 대상에서 배제될 수 있음</w:t>
      </w:r>
    </w:p>
    <w:p>
      <w:pPr>
        <w:pStyle w:val="ListParagraph"/>
        <w:numPr>
          <w:ilvl w:val="2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치료 시작 후 ARIA-H로 오인(위양성) 가능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1년 이내 MRI가 필수 시퀀스 누락 또는 치매 평가 부적합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치료 개시 후 모니터링 (무증상)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치료 시작 후 1년간 </w:t>
      </w:r>
      <w:r>
        <w:rPr>
          <w:rFonts w:ascii="Malgun Gothic" w:cs="Malgun Gothic" w:eastAsia="Malgun Gothic" w:hAnsi="Malgun Gothic"/>
          <w:b/>
          <w:bCs/>
        </w:rPr>
        <w:t xml:space="preserve">비조영 MRI 최소 3–4회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Lecanemab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5번째 투여 전 (약 2개월)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7번째 투여 전 (약 3개월)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14번째 투여 전 (약 6개월)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26번째 투여 전(52주)</w:t>
      </w:r>
      <w:r>
        <w:rPr>
          <w:rFonts w:ascii="Malgun Gothic" w:cs="Malgun Gothic" w:eastAsia="Malgun Gothic" w:hAnsi="Malgun Gothic"/>
        </w:rPr>
        <w:t xml:space="preserve"> 추가: APOE-ε4 보인자, 이전 ARIA 확인, 환자 상태 고려 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Donanemab</w:t>
      </w:r>
      <w:r>
        <w:rPr>
          <w:rFonts w:ascii="Malgun Gothic" w:cs="Malgun Gothic" w:eastAsia="Malgun Gothic" w:hAnsi="Malgun Gothic"/>
        </w:rPr>
        <w:t xml:space="preserve">: 2, 3, 4, 7번째 투여 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일정의 근거 (Clarity AD)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ARIA-E의 </w:t>
      </w:r>
      <w:r>
        <w:rPr>
          <w:rFonts w:ascii="Malgun Gothic" w:cs="Malgun Gothic" w:eastAsia="Malgun Gothic" w:hAnsi="Malgun Gothic"/>
          <w:b/>
          <w:bCs/>
        </w:rPr>
        <w:t xml:space="preserve">71%가 초기</w:t>
      </w:r>
      <w:r>
        <w:rPr>
          <w:rFonts w:ascii="Malgun Gothic" w:cs="Malgun Gothic" w:eastAsia="Malgun Gothic" w:hAnsi="Malgun Gothic"/>
        </w:rPr>
        <w:t xml:space="preserve"> 발생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81%가 발견 후 4개월 이내 자연 소실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APOE-ε4 보인자: 첫 ARIA-E가 </w:t>
      </w:r>
      <w:r>
        <w:rPr>
          <w:rFonts w:ascii="Malgun Gothic" w:cs="Malgun Gothic" w:eastAsia="Malgun Gothic" w:hAnsi="Malgun Gothic"/>
          <w:b/>
          <w:bCs/>
        </w:rPr>
        <w:t xml:space="preserve">52주에도</w:t>
      </w:r>
      <w:r>
        <w:rPr>
          <w:rFonts w:ascii="Malgun Gothic" w:cs="Malgun Gothic" w:eastAsia="Malgun Gothic" w:hAnsi="Malgun Gothic"/>
        </w:rPr>
        <w:t xml:space="preserve"> 보고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일본 후생노동성</w:t>
      </w:r>
      <w:r>
        <w:rPr>
          <w:rFonts w:ascii="Malgun Gothic" w:cs="Malgun Gothic" w:eastAsia="Malgun Gothic" w:hAnsi="Malgun Gothic"/>
        </w:rPr>
        <w:t xml:space="preserve">: 26번째 투여 후(52주) + 6개월마다 추가 MRI 가능 (근거 부족)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ARIA 의심 증상 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임상 평가 + </w:t>
      </w:r>
      <w:r>
        <w:rPr>
          <w:rFonts w:ascii="Malgun Gothic" w:cs="Malgun Gothic" w:eastAsia="Malgun Gothic" w:hAnsi="Malgun Gothic"/>
          <w:b/>
          <w:bCs/>
        </w:rPr>
        <w:t xml:space="preserve">응급 ARIA MRI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필요 시 감별용 시퀀스 추가 (조영증강, MRA 등)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ARIA 발생 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Lecanemab 권고안: 영상 안정화 + 증상 소실까지 </w:t>
      </w:r>
      <w:r>
        <w:rPr>
          <w:rFonts w:ascii="Malgun Gothic" w:cs="Malgun Gothic" w:eastAsia="Malgun Gothic" w:hAnsi="Malgun Gothic"/>
          <w:b/>
          <w:bCs/>
        </w:rPr>
        <w:t xml:space="preserve">투여 보류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ARIA-E 소실, ARIA-H 안정화까지 추적 MRI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ASNR: ARIA 발생 후 매월 MRI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Ⅷ. 세 가지 MRI 프로토콜 시나리오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① Baseline MRI</w:t>
      </w:r>
      <w:r>
        <w:rPr>
          <w:rFonts w:ascii="Malgun Gothic" w:cs="Malgun Gothic" w:eastAsia="Malgun Gothic" w:hAnsi="Malgun Gothic"/>
        </w:rPr>
        <w:t xml:space="preserve"> (치료 등록용): 필수 시퀀스 + 기관 통상 치매 프로토콜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② 무증상 ARIA 모니터링 MRI</w:t>
      </w:r>
      <w:r>
        <w:rPr>
          <w:rFonts w:ascii="Malgun Gothic" w:cs="Malgun Gothic" w:eastAsia="Malgun Gothic" w:hAnsi="Malgun Gothic"/>
        </w:rPr>
        <w:t xml:space="preserve">: 접근성을 위해 필수 시퀀스만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③ 유증상 ARIA 모니터링 MRI</w:t>
      </w:r>
      <w:r>
        <w:rPr>
          <w:rFonts w:ascii="Malgun Gothic" w:cs="Malgun Gothic" w:eastAsia="Malgun Gothic" w:hAnsi="Malgun Gothic"/>
        </w:rPr>
        <w:t xml:space="preserve">: 감별진단(경색, 종양, 감염 등)에 맞춰 추가 시퀀스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처방 관리: 기존 MRI와 구별되는 처방명으로 신규 등록 (예: "AD 치료 ARIA 모니터링")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Ⅸ. 판독문 구성 요소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Baseline 판독 평가 항목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미세출혈 개수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표재철침착증 유무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열공경색 개수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영역성 경색 유무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뇌백질 고신호 범위 (Fazekas 척도)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Lecanemab 치료 배제 MRI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미세출혈 </w:t>
      </w:r>
      <w:r>
        <w:rPr>
          <w:rFonts w:ascii="Malgun Gothic" w:cs="Malgun Gothic" w:eastAsia="Malgun Gothic" w:hAnsi="Malgun Gothic"/>
          <w:b/>
          <w:bCs/>
        </w:rPr>
        <w:t xml:space="preserve">≥5개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10 mm 초과</w:t>
      </w:r>
      <w:r>
        <w:rPr>
          <w:rFonts w:ascii="Malgun Gothic" w:cs="Malgun Gothic" w:eastAsia="Malgun Gothic" w:hAnsi="Malgun Gothic"/>
        </w:rPr>
        <w:t xml:space="preserve"> 뇌출혈 ≥1개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표재철침착증 ≥1개 영역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혈관성부종 ≥1개 영역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열공경색 </w:t>
      </w:r>
      <w:r>
        <w:rPr>
          <w:rFonts w:ascii="Malgun Gothic" w:cs="Malgun Gothic" w:eastAsia="Malgun Gothic" w:hAnsi="Malgun Gothic"/>
          <w:b/>
          <w:bCs/>
        </w:rPr>
        <w:t xml:space="preserve">≥3개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주요 영역 경색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Fazekas 3점</w:t>
      </w:r>
      <w:r>
        <w:rPr>
          <w:rFonts w:ascii="Malgun Gothic" w:cs="Malgun Gothic" w:eastAsia="Malgun Gothic" w:hAnsi="Malgun Gothic"/>
        </w:rPr>
        <w:t xml:space="preserve"> (심한 백질 고신호)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Amyloid beta-related angiitis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CAA-related inflammation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인지장애를 유발할 수 있는 기타 현저한 두개내 소견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모니터링 판독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기재 내용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환자 증상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인공물 유무 (예: 움직임 인공물)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신규 ARIA-E/ARIA-H 병변 (화살표 등으로 직접 표시)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표준 판독문 미사용 시에도 </w:t>
      </w:r>
      <w:r>
        <w:rPr>
          <w:rFonts w:ascii="Malgun Gothic" w:cs="Malgun Gothic" w:eastAsia="Malgun Gothic" w:hAnsi="Malgun Gothic"/>
          <w:b/>
          <w:bCs/>
        </w:rPr>
        <w:t xml:space="preserve">필수 기재 항목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혈관성 부종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고랑 삼출물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미세출혈 개수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표재철침착증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기존 병변의 변화 여부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임상의와의 의사소통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경도 ARIA</w:t>
      </w:r>
      <w:r>
        <w:rPr>
          <w:rFonts w:ascii="Malgun Gothic" w:cs="Malgun Gothic" w:eastAsia="Malgun Gothic" w:hAnsi="Malgun Gothic"/>
        </w:rPr>
        <w:t xml:space="preserve">: 임상의에게 통보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</w:rPr>
        <w:t xml:space="preserve">중등도 이상 ARIA</w:t>
      </w:r>
      <w:r>
        <w:rPr>
          <w:rFonts w:ascii="Malgun Gothic" w:cs="Malgun Gothic" w:eastAsia="Malgun Gothic" w:hAnsi="Malgun Gothic"/>
        </w:rPr>
        <w:t xml:space="preserve">: 통보 + 수신 확인 (신속한 소통)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Ⅹ. 고찰 핵심 포인트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프로토콜 표준화의 이점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동일 환자 검사 간, 기관 간 비교 오류 감소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무증상 ARIA 조기 발견 → 불필요한 투여 방지 → 환자 안전 향상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표준 판독문(ASNR 권고): 병변 개수·위치·중증도·변화의 일관된 기술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기관은 동일 기기 배정 등 일관성 유지 노력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환자 맞춤형 유연한 적용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Baseline에 TSE/FSE, volumetry 추가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유증상 환자에 조영증강 추가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Ⅺ. 결론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항아밀로이드 치료제 등장과 함께 ARIA 관리를 위한 표준화 MRI 프로토콜의 중요성 대두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</w:rPr>
        <w:t xml:space="preserve">한국 의료환경에 최적화된 가이드라인 개발과 지속적 연구 필요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종합 요약표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표 1. 필수 시퀀스 및 촬영 조건 (논문 Table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2000"/>
        <w:gridCol w:w="406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최소</w:t>
            </w:r>
          </w:p>
        </w:tc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권장</w:t>
            </w:r>
          </w:p>
        </w:tc>
        <w:tc>
          <w:tcPr>
            <w:tcW w:type="dxa" w:w="40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자장세기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1.5T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3T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3T 불가 시 1.5T 허용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절편 두께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≤5 mm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더 얇게 / 3D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ASNR ≤4 mm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GRE 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15–20 ms (3T)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–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ASNR: 1.5T 25–35 ms / 임상시험: 자장 무관 20 ms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검사 시간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≤15분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–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제조사 기본 프로토콜 활용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ARIA-E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2D FLAIR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3D FLAIR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일관된 화질 + CSF 억제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ARIA-H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2D T2*-GRE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2D T2*-GRE (±SWI)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SWI는 GRE 대체 불가, 추가만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경색 감별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2D DWI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–</w:t>
            </w:r>
          </w:p>
        </w:tc>
        <w:tc>
          <w:tcPr>
            <w:tcW w:type="dxa" w:w="4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DTI 시 trace + ADC 제공</w:t>
            </w:r>
          </w:p>
        </w:tc>
      </w:tr>
    </w:tbl>
    <w:p/>
    <w:p>
      <w:p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표 2. 세 가지 프로토콜 (논문 Table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20"/>
        <w:gridCol w:w="2620"/>
        <w:gridCol w:w="262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6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무증상 모니터링</w:t>
            </w:r>
          </w:p>
        </w:tc>
        <w:tc>
          <w:tcPr>
            <w:tcW w:type="dxa" w:w="26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유증상 모니터링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시퀀스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FLAIR, GRE(±SWI), DWI,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3D T1, T2WI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FLAIR, GRE(±SWI), DWI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FLAIR, GRE(±SWI), DWI, ±추가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핵심 소견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미세출혈, 표재철침착증, WMH, 경색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ARIA-E, ARIA-H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ARIA-E, ARIA-H, 기타 급성 소견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소통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표준 판독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경도: 통보 / 중등도 이상: 통보+확인</w:t>
            </w:r>
          </w:p>
        </w:tc>
        <w:tc>
          <w:tcPr>
            <w:tcW w:type="dxa" w:w="2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좌동</w:t>
            </w:r>
          </w:p>
        </w:tc>
      </w:tr>
    </w:tbl>
    <w:p/>
    <w:p>
      <w:p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표 3. 촬영 시점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4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Lecanemab</w:t>
            </w:r>
          </w:p>
        </w:tc>
        <w:tc>
          <w:tcPr>
            <w:tcW w:type="dxa" w:w="3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Donanemab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Baseline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3–6개월 이내 이상적, 1년 이내 대체 가능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동일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모니터링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5, 7, 14번째 투여 전</w:t>
            </w:r>
            <w:r>
              <w:rPr>
                <w:rFonts w:ascii="Malgun Gothic" w:cs="Malgun Gothic" w:eastAsia="Malgun Gothic" w:hAnsi="Malgun Gothic"/>
              </w:rPr>
              <w:t xml:space="preserve"> (약 2, 3, 6개월)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</w:rPr>
              <w:t xml:space="preserve">2, 3, 4, 7번째 투여 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추가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APOE-ε4 보인자/이전 ARIA: 26번째 투여 전(52주)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–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유증상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응급 MRI (±조영증강, MRA)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동일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ARIA 발생 후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투여 보류, ASNR: 매월 MRI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–</w:t>
            </w:r>
          </w:p>
        </w:tc>
      </w:tr>
    </w:tbl>
    <w:p/>
    <w:p>
      <w:p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표 4. Lecanemab 배제 MRI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배제 기준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미세출혈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≥5개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뇌출혈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&gt;10 mm, ≥1개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표재철침착증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≥1개 영역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혈관성부종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≥1개 영역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열공경색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≥3개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영역성 경색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주요 영역 경색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백질 고신호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Fazekas 3점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기타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</w:rPr>
              <w:t xml:space="preserve">Aβ 관련 혈관염, CAA-related inflammation, 인지장애 유발 가능한 기타 두개내 소견</w:t>
            </w:r>
          </w:p>
        </w:tc>
      </w:tr>
    </w:tbl>
    <w:p/>
    <w:p>
      <w:pPr>
        <w:spacing w:after="80"/>
      </w:pPr>
      <w:r>
        <w:rPr>
          <w:rFonts w:ascii="Malgun Gothic" w:cs="Malgun Gothic" w:eastAsia="Malgun Gothic" w:hAnsi="Malgun Gothic"/>
          <w:b/>
          <w:bCs/>
        </w:rPr>
        <w:t xml:space="preserve">참고 (논문 범위 밖)</w:t>
      </w:r>
      <w:r>
        <w:rPr>
          <w:rFonts w:ascii="Malgun Gothic" w:cs="Malgun Gothic" w:eastAsia="Malgun Gothic" w:hAnsi="Malgun Gothic"/>
        </w:rPr>
        <w:t xml:space="preserve">: ARIA의 경도/중등도/중증 radiographic severity 정의는 본 논문 본문에 없음. 본문은 ASNR 권고안(Cogswell PM et al., AJNR 2022)과 lecanemab Appropriate Use Recommendations(Cummings J et al., J Prev Alzheimers Dis 2023)를 인용만 함.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820" w:hanging="260"/>
      </w:pPr>
    </w:lvl>
    <w:lvl w:ilvl="2" w15:tentative="1">
      <w:start w:val="1"/>
      <w:numFmt w:val="bullet"/>
      <w:lvlText w:val="▪"/>
      <w:lvlJc w:val="left"/>
      <w:pPr>
        <w:ind w:left="12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20" w:before="30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Malgun Gothic" w:cs="Malgun Gothic" w:eastAsia="Malgun Gothic" w:hAnsi="Malgun Gothic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2026-10-08T10:27:39.858Z</dcterms:created>
  <dcterms:modified xsi:type="dcterms:W3CDTF">2026-10-08T10:27:39.865Z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