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8"/>
        </w:rPr>
        <w:t>NI-RADS</w:t>
      </w:r>
    </w:p>
    <w:p>
      <w:pPr>
        <w:jc w:val="center"/>
      </w:pPr>
      <w:r>
        <w:rPr>
          <w:b/>
          <w:i w:val="0"/>
          <w:color w:val="1F3A5F"/>
          <w:sz w:val="26"/>
        </w:rPr>
        <w:t>Neck Imaging Reporting and Data System (ACR)</w:t>
      </w:r>
    </w:p>
    <w:p>
      <w:pPr>
        <w:jc w:val="center"/>
      </w:pPr>
      <w:r>
        <w:rPr>
          <w:b w:val="0"/>
          <w:i w:val="0"/>
          <w:sz w:val="22"/>
        </w:rPr>
        <w:t>두경부암 치료 후 추적영상 판독체계 — CT / PET-CT (2018) + MRI version 2025 학습 노트</w:t>
      </w:r>
    </w:p>
    <w:p>
      <w:pPr>
        <w:jc w:val="center"/>
      </w:pPr>
      <w:r>
        <w:rPr>
          <w:b w:val="0"/>
          <w:i w:val="0"/>
          <w:color w:val="666666"/>
          <w:sz w:val="18"/>
        </w:rPr>
        <w:t>핵심 원문: Aiken AH, et al. ACR NI-RADS White Paper. J Am Coll Radiol 2018;15(8):1097–1108 · doi:10.1016/j.jacr.2018.05.006 · PMID 29983244</w:t>
      </w:r>
    </w:p>
    <w:p>
      <w:pPr>
        <w:jc w:val="center"/>
      </w:pPr>
      <w:r>
        <w:rPr>
          <w:b w:val="0"/>
          <w:i w:val="0"/>
          <w:color w:val="666666"/>
          <w:sz w:val="18"/>
        </w:rPr>
        <w:t>Bunch PM, Aiken AH, Baugnon KL, et al. ACR NI-RADS for MRI Version 2025. J Am Coll Radiol 2025 · doi:10.1016/j.jacr.2025.07.023 · PMID 40754125</w:t>
      </w:r>
    </w:p>
    <w:p>
      <w:r>
        <w:rPr>
          <w:b w:val="0"/>
          <w:i w:val="0"/>
          <w:color w:val="A03030"/>
          <w:sz w:val="18"/>
        </w:rPr>
        <w:t>※ 작성 방법 및 한계: 요청하신 ACR 웹페이지(acr.org)와 JACR 본문은 작성 환경의 네트워크 정책으로 직접 열람이 차단되었습니다. 따라서 PubMed/PMC에서 확인 가능한 원저·리뷰(아래 참고문헌)만 근거로 작성했으며, 원문에서 확인하지 못한 내용은 쓰지 않거나 '[원문 대조 필요]'로 표시했습니다. 특히 MRI 2025의 세부 카테고리 표(lexicon 전문)는 ACR 사이트의 공식 chart와 반드시 대조하시기 바랍니다.</w:t>
      </w:r>
    </w:p>
    <w:p>
      <w:pPr>
        <w:spacing w:before="280"/>
      </w:pPr>
      <w:r>
        <w:rPr>
          <w:b/>
          <w:i w:val="0"/>
          <w:color w:val="1F3A5F"/>
          <w:sz w:val="28"/>
        </w:rPr>
        <w:t>1. 한눈에 보는 핵심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목적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두경부암 '치료 후(post-treatment) 추적' 영상의 표준화 — 선별검사/진단용이 아님 (BI-RADS·LI-RADS와 차이)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구성 3요소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① 표준 lexicon  ② 재발 의심도 numeric category  ③ category별 연계 관리권고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평가 부위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Primary site와 Neck(경부 림프절)에 각각 별도 점수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0 (incomplete), 1, 2 (primary는 2a/2b), 3, 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모달리티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2018: CECT ± FDG PET/CT  →  2025: MRI 전용 버전 추가(T2 신호·DWI 강조)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적용 시점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근치적(definitive/curative) 치료 완료 후 surveillance에 사용; 치료 중 영상에는 사용하지 않음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재발률(메타분석)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Primary: 1=4.2%, 2=29.0%, 3=74.4% / Neck: 1=3.5%, 2=14.3%, 3=73.3%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Aiken 2018 White Paper (PMID 29983244); Cancer Imaging 2026 review, doi:10.1186/s40644-026-00989-y (PMC12805746); Baba A, et al. AJNR 2023 meta-analysis, doi:10.3174/ajnr.A7992 (PMC10549942)</w:t>
      </w:r>
    </w:p>
    <w:p>
      <w:pPr>
        <w:spacing w:before="280"/>
      </w:pPr>
      <w:r>
        <w:rPr>
          <w:b/>
          <w:i w:val="0"/>
          <w:color w:val="1F3A5F"/>
          <w:sz w:val="28"/>
        </w:rPr>
        <w:t>2. 배경과 역사</w:t>
      </w:r>
    </w:p>
    <w:p>
      <w:pPr>
        <w:pStyle w:val="ListBullet"/>
      </w:pPr>
      <w:r>
        <w:t>ACR RADS 계보: BI-RADS(1993) → Lung-RADS, LI-RADS, TI-RADS → NI-RADS</w:t>
      </w:r>
    </w:p>
    <w:p>
      <w:pPr>
        <w:pStyle w:val="ListBullet"/>
      </w:pPr>
      <w:r>
        <w:t>NI-RADS는 같은 틀(lexicon + risk category + linked management)을 쓰지만 대상이 '치료 후 추적'이라는 점이 다름</w:t>
      </w:r>
    </w:p>
    <w:p>
      <w:pPr>
        <w:pStyle w:val="ListBullet"/>
      </w:pPr>
      <w:r>
        <w:t>2015–2016: 기관 surveillance template으로 처음 도입·보고 (Aiken et al., JACR, online 2015)</w:t>
      </w:r>
    </w:p>
    <w:p>
      <w:pPr>
        <w:pStyle w:val="ListBullet"/>
      </w:pPr>
      <w:r>
        <w:t>2016: ACR NI-RADS Committee 구성. 목표 3가지</w:t>
      </w:r>
    </w:p>
    <w:p>
      <w:pPr>
        <w:pStyle w:val="ListBullet2"/>
      </w:pPr>
      <w:r>
        <w:t>추적영상 권고안 제시</w:t>
      </w:r>
    </w:p>
    <w:p>
      <w:pPr>
        <w:pStyle w:val="ListBullet2"/>
      </w:pPr>
      <w:r>
        <w:t>치료 후 양성 변화 vs 잔존/재발 종양을 구분하는 lexicon 제작</w:t>
      </w:r>
    </w:p>
    <w:p>
      <w:pPr>
        <w:pStyle w:val="ListBullet2"/>
      </w:pPr>
      <w:r>
        <w:t>lexicon 기반 reporting template + 의심도 + 관리권고</w:t>
      </w:r>
    </w:p>
    <w:p>
      <w:pPr>
        <w:pStyle w:val="ListBullet"/>
      </w:pPr>
      <w:r>
        <w:t>2018: ACR White Paper 발표 — CECT 및 FDG PET/CT 기준</w:t>
      </w:r>
    </w:p>
    <w:p>
      <w:pPr>
        <w:pStyle w:val="ListBullet"/>
      </w:pPr>
      <w:r>
        <w:t>2025 (JACR, 2025.08): ACR NI-RADS MRI version 2025 — 도입 이후 가장 큰 개정</w:t>
      </w:r>
    </w:p>
    <w:p>
      <w:pPr>
        <w:pStyle w:val="ListBullet2"/>
      </w:pPr>
      <w:r>
        <w:t>대상: skull base, nasopharynx, salivary gland, sinonasal 종양처럼 MRI가 유리한 경우</w:t>
      </w:r>
    </w:p>
    <w:p>
      <w:pPr>
        <w:pStyle w:val="ListBullet2"/>
      </w:pPr>
      <w:r>
        <w:t>T2WI·DWI 소견 및 perineural spread 평가 지침 포함, 관리 알고리즘은 PET/CT 버전을 mirror</w:t>
      </w:r>
    </w:p>
    <w:p>
      <w:r>
        <w:rPr>
          <w:b w:val="0"/>
          <w:i/>
          <w:color w:val="666666"/>
          <w:sz w:val="17"/>
        </w:rPr>
        <w:t>출처: Aiken 2015/2016 JACR (PMID 26577876); Aiken 2018 (PMID 29983244); Bunch 2025 JACR abstract (PMID 40754125); PMC12805746 History</w:t>
      </w:r>
    </w:p>
    <w:p>
      <w:pPr>
        <w:spacing w:before="280"/>
      </w:pPr>
      <w:r>
        <w:rPr>
          <w:b/>
          <w:i w:val="0"/>
          <w:color w:val="1F3A5F"/>
          <w:sz w:val="28"/>
        </w:rPr>
        <w:t>3. 적용 대상과 촬영 시점</w:t>
      </w:r>
    </w:p>
    <w:p>
      <w:pPr>
        <w:spacing w:before="160"/>
      </w:pPr>
      <w:r>
        <w:rPr>
          <w:b/>
          <w:i w:val="0"/>
          <w:color w:val="1F3A5F"/>
          <w:sz w:val="23"/>
        </w:rPr>
        <w:t>3-1. 적용 대상 종양</w:t>
      </w:r>
    </w:p>
    <w:p>
      <w:pPr>
        <w:pStyle w:val="ListBullet"/>
      </w:pPr>
      <w:r>
        <w:t>주로 HNSCC: 두경부 피부, 구강, 비강, 비인두, 구인두, 하인두, 후두</w:t>
      </w:r>
    </w:p>
    <w:p>
      <w:pPr>
        <w:pStyle w:val="ListBullet"/>
      </w:pPr>
      <w:r>
        <w:t>비편평세포암에도 적용 보고: 침샘 종양, 부비동 종양, 안와 종양, 갑상선암</w:t>
      </w:r>
    </w:p>
    <w:p>
      <w:pPr>
        <w:pStyle w:val="ListBullet"/>
      </w:pPr>
      <w:r>
        <w:t>면역치료 단독은 definitive therapy로 보지 않으므로 NI-RADS surveillance 범주에 해당하지 않음 (향후 개정 과제)</w:t>
      </w:r>
    </w:p>
    <w:p>
      <w:r>
        <w:rPr>
          <w:b w:val="0"/>
          <w:i/>
          <w:color w:val="666666"/>
          <w:sz w:val="17"/>
        </w:rPr>
        <w:t>출처: Vertulli et al. Bioengineering 2025, doi:10.3390/bioengineering12040398 (PMC12024659) §3; PMC12805746 'Immunotherapy'</w:t>
      </w:r>
    </w:p>
    <w:p>
      <w:pPr>
        <w:spacing w:before="160"/>
      </w:pPr>
      <w:r>
        <w:rPr>
          <w:b/>
          <w:i w:val="0"/>
          <w:color w:val="1F3A5F"/>
          <w:sz w:val="23"/>
        </w:rPr>
        <w:t>3-2. 추적 영상 시점 (White Paper 권고)</w:t>
      </w:r>
    </w:p>
    <w:p>
      <w:pPr>
        <w:pStyle w:val="ListBullet"/>
      </w:pPr>
      <w:r>
        <w:t>Baseline: 치료 종료 후 8–12주 PET/CECT (preferred)</w:t>
      </w:r>
    </w:p>
    <w:p>
      <w:pPr>
        <w:pStyle w:val="ListBullet"/>
      </w:pPr>
      <w:r>
        <w:t>근거: 12주 PET/CT의 pooled sensitivity 86.2%, specificity 82.3% (primary site)</w:t>
      </w:r>
    </w:p>
    <w:p>
      <w:pPr>
        <w:pStyle w:val="ListBullet2"/>
      </w:pPr>
      <w:r>
        <w:t>Cessation 규칙: 8–12주 및 그 6개월 후 PET/CECT가 모두 음성이면 영상 추적 중단 권고</w:t>
      </w:r>
    </w:p>
    <w:p>
      <w:pPr>
        <w:pStyle w:val="ListBullet2"/>
      </w:pPr>
      <w:r>
        <w:t>근거: 6개월 간격 연속 2회 음성 PET/CT의 NPV 98%</w:t>
      </w:r>
    </w:p>
    <w:p>
      <w:pPr>
        <w:pStyle w:val="ListBullet"/>
      </w:pPr>
      <w:r>
        <w:t>CECT 단독으로 추적하는 경우: 연 1회 영상 지속이 적절할 수 있음(± chest CT); 임상적으로 필요 시 CT 대신 MRI</w:t>
      </w:r>
    </w:p>
    <w:p>
      <w:pPr>
        <w:pStyle w:val="ListBullet"/>
      </w:pPr>
      <w:r>
        <w:t>HNSCC 무증상 재발의 약 95%가 치료 후 2년 이내 발견 → 이 기간 추적의 근거</w:t>
      </w:r>
    </w:p>
    <w:p>
      <w:pPr>
        <w:pStyle w:val="ListBullet"/>
      </w:pPr>
      <w:r>
        <w:t>Adenoid cystic carcinoma 등은 late relapse → 장기 추적 필요</w:t>
      </w:r>
    </w:p>
    <w:p>
      <w:pPr>
        <w:pStyle w:val="ListBullet"/>
      </w:pPr>
      <w:r>
        <w:t>NCCN (v4.2025): 치료 후 6개월 이내 영상 권고; 음성 3개월 PET/CT 이후 무증상 환자에서 routine 영상의 이득은 입증되지 않음</w:t>
      </w:r>
    </w:p>
    <w:p>
      <w:r>
        <w:rPr>
          <w:b w:val="0"/>
          <w:i/>
          <w:color w:val="666666"/>
          <w:sz w:val="17"/>
        </w:rPr>
        <w:t>출처: PMC12805746 'Surveillance imaging' &amp; 'Cessation of imaging surveillance'; J Cancer Res Clin Oncol 2026, doi:10.1007/s00432-026-06493-x (PMC13454081) Discussion</w:t>
      </w:r>
    </w:p>
    <w:p>
      <w:pPr>
        <w:spacing w:before="160"/>
      </w:pPr>
      <w:r>
        <w:rPr>
          <w:b/>
          <w:i w:val="0"/>
          <w:color w:val="1F3A5F"/>
          <w:sz w:val="23"/>
        </w:rPr>
        <w:t>3-3. MRI 프로토콜 (NI-RADS MRI 2025에서 언급)</w:t>
      </w:r>
    </w:p>
    <w:p>
      <w:pPr>
        <w:pStyle w:val="ListBullet"/>
      </w:pPr>
      <w:r>
        <w:t>표준화된 단일 프로토콜은 없음. 권고되는 구성:</w:t>
      </w:r>
    </w:p>
    <w:p>
      <w:pPr>
        <w:pStyle w:val="ListBullet2"/>
      </w:pPr>
      <w:r>
        <w:t>Non-contrast T1WI (fat suppression 없음)</w:t>
      </w:r>
    </w:p>
    <w:p>
      <w:pPr>
        <w:pStyle w:val="ListBullet2"/>
      </w:pPr>
      <w:r>
        <w:t>T2WI</w:t>
      </w:r>
    </w:p>
    <w:p>
      <w:pPr>
        <w:pStyle w:val="ListBullet2"/>
      </w:pPr>
      <w:r>
        <w:t>Contrast-enhanced T1WI with fat suppression</w:t>
      </w:r>
    </w:p>
    <w:p>
      <w:pPr>
        <w:pStyle w:val="ListBullet2"/>
      </w:pPr>
      <w:r>
        <w:t>→ 각각 최소 2개 plane</w:t>
      </w:r>
    </w:p>
    <w:p>
      <w:pPr>
        <w:pStyle w:val="ListBullet2"/>
      </w:pPr>
      <w:r>
        <w:t>DWI 추가 권고</w:t>
      </w:r>
    </w:p>
    <w:p>
      <w:pPr>
        <w:pStyle w:val="ListBullet2"/>
      </w:pPr>
      <w:r>
        <w:t>Dixon fat suppression: artifact 최소화 목적으로 제안</w:t>
      </w:r>
    </w:p>
    <w:p>
      <w:pPr>
        <w:pStyle w:val="ListBullet"/>
      </w:pPr>
      <w:r>
        <w:t>Primary site의 targeted high-resolution 영상 적절 (경부는 CT/US로 따로 평가하는 경우)</w:t>
      </w:r>
    </w:p>
    <w:p>
      <w:pPr>
        <w:pStyle w:val="ListBullet"/>
      </w:pPr>
      <w:r>
        <w:t>경부가 FOV에 포함되지 않으면 Neck score = 'X – not assessed' 표기 가능 (MRI 버전)</w:t>
      </w:r>
    </w:p>
    <w:p>
      <w:r>
        <w:rPr>
          <w:b w:val="0"/>
          <w:i/>
          <w:color w:val="666666"/>
          <w:sz w:val="17"/>
        </w:rPr>
        <w:t>출처: PMC12805746 History &amp; 'NI-RADS categories' (NI-RADS MRI 2025 요약)</w:t>
      </w:r>
    </w:p>
    <w:p>
      <w:pPr>
        <w:spacing w:before="280"/>
      </w:pPr>
      <w:r>
        <w:rPr>
          <w:b/>
          <w:i w:val="0"/>
          <w:color w:val="1F3A5F"/>
          <w:sz w:val="28"/>
        </w:rPr>
        <w:t>4. NI-RADS 카테고리 — CECT / PET-CT (2018 White Paper)</w:t>
      </w:r>
    </w:p>
    <w:p>
      <w:pPr>
        <w:spacing w:before="160"/>
      </w:pPr>
      <w:r>
        <w:rPr>
          <w:b/>
          <w:i w:val="0"/>
          <w:color w:val="1F3A5F"/>
          <w:sz w:val="23"/>
        </w:rPr>
        <w:t>4-1. Primary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CECT 소견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FDG PET 소견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관리권고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sz w:val="18"/>
              </w:rPr>
              <w:t>Incomplete</w:t>
            </w:r>
          </w:p>
        </w:tc>
        <w:tc>
          <w:tcPr>
            <w:tcW w:type="dxa" w:w="3175"/>
            <w:shd w:val="clear" w:color="auto" w:fill="F2F2F2"/>
          </w:tcPr>
          <w:p>
            <w:r/>
            <w:r>
              <w:rPr>
                <w:sz w:val="18"/>
              </w:rPr>
              <w:t>New baseline 검사인데, 이전 영상이 존재하며 추후 비교 가능해질 것을 아는 경우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이전 영상 확보 후 addendum으로 점수 부여</w:t>
            </w:r>
          </w:p>
        </w:tc>
      </w:tr>
      <w:tr>
        <w:tc>
          <w:tcPr>
            <w:tcW w:type="dxa" w:w="680"/>
            <w:shd w:val="clear" w:color="auto" w:fill="E2F0D9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587"/>
            <w:shd w:val="clear" w:color="auto" w:fill="E2F0D9"/>
          </w:tcPr>
          <w:p>
            <w:r/>
            <w:r>
              <w:rPr>
                <w:sz w:val="18"/>
              </w:rPr>
              <w:t>No evidence of recurrence</w:t>
            </w:r>
          </w:p>
        </w:tc>
        <w:tc>
          <w:tcPr>
            <w:tcW w:type="dxa" w:w="3175"/>
            <w:shd w:val="clear" w:color="auto" w:fill="E2F0D9"/>
          </w:tcPr>
          <w:p>
            <w:r/>
            <w:r>
              <w:rPr>
                <w:sz w:val="18"/>
              </w:rPr>
              <w:t>Expected post-treatment change: non-mass-like distortion of soft tissues; low-density 'mucoid' mucosal edema; RT 후 diffuse linear mucosal enhancement</w:t>
            </w:r>
          </w:p>
        </w:tc>
        <w:tc>
          <w:tcPr>
            <w:tcW w:type="dxa" w:w="1928"/>
            <w:shd w:val="clear" w:color="auto" w:fill="E2F0D9"/>
          </w:tcPr>
          <w:p>
            <w:r/>
            <w:r>
              <w:rPr>
                <w:sz w:val="18"/>
              </w:rPr>
              <w:t>No abnormal FDG uptake</w:t>
            </w:r>
          </w:p>
        </w:tc>
        <w:tc>
          <w:tcPr>
            <w:tcW w:type="dxa" w:w="2268"/>
            <w:shd w:val="clear" w:color="auto" w:fill="E2F0D9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2CC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sz w:val="18"/>
              </w:rPr>
              <w:t>Low suspicion — superficial (mucosal)</w:t>
            </w:r>
          </w:p>
        </w:tc>
        <w:tc>
          <w:tcPr>
            <w:tcW w:type="dxa" w:w="3175"/>
            <w:shd w:val="clear" w:color="auto" w:fill="FFF2CC"/>
          </w:tcPr>
          <w:p>
            <w:r/>
            <w:r>
              <w:rPr>
                <w:sz w:val="18"/>
              </w:rPr>
              <w:t>Focal mucosal enhancement, but not mass-like</w:t>
            </w:r>
          </w:p>
        </w:tc>
        <w:tc>
          <w:tcPr>
            <w:tcW w:type="dxa" w:w="1928"/>
            <w:shd w:val="clear" w:color="auto" w:fill="FFF2CC"/>
          </w:tcPr>
          <w:p>
            <w:r/>
            <w:r>
              <w:rPr>
                <w:sz w:val="18"/>
              </w:rPr>
              <w:t>Focal mild–moderate mucosal uptake</w:t>
            </w:r>
          </w:p>
        </w:tc>
        <w:tc>
          <w:tcPr>
            <w:tcW w:type="dxa" w:w="2268"/>
            <w:shd w:val="clear" w:color="auto" w:fill="FFF2CC"/>
          </w:tcPr>
          <w:p>
            <w:r/>
            <w:r>
              <w:rPr>
                <w:sz w:val="18"/>
              </w:rPr>
              <w:t>Direct visual inspection (내시경)</w:t>
            </w:r>
          </w:p>
        </w:tc>
      </w:tr>
      <w:tr>
        <w:tc>
          <w:tcPr>
            <w:tcW w:type="dxa" w:w="680"/>
            <w:shd w:val="clear" w:color="auto" w:fill="FFF2CC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sz w:val="18"/>
              </w:rPr>
              <w:t>Low suspicion — deep</w:t>
            </w:r>
          </w:p>
        </w:tc>
        <w:tc>
          <w:tcPr>
            <w:tcW w:type="dxa" w:w="3175"/>
            <w:shd w:val="clear" w:color="auto" w:fill="FFF2CC"/>
          </w:tcPr>
          <w:p>
            <w:r/>
            <w:r>
              <w:rPr>
                <w:sz w:val="18"/>
              </w:rPr>
              <w:t>Deep, ill-defined soft tissue, not discrete; little to no differential enhancement</w:t>
            </w:r>
          </w:p>
        </w:tc>
        <w:tc>
          <w:tcPr>
            <w:tcW w:type="dxa" w:w="1928"/>
            <w:shd w:val="clear" w:color="auto" w:fill="FFF2CC"/>
          </w:tcPr>
          <w:p>
            <w:r/>
            <w:r>
              <w:rPr>
                <w:sz w:val="18"/>
              </w:rPr>
              <w:t>Mild or moderate uptake</w:t>
            </w:r>
          </w:p>
        </w:tc>
        <w:tc>
          <w:tcPr>
            <w:tcW w:type="dxa" w:w="2268"/>
            <w:shd w:val="clear" w:color="auto" w:fill="FFF2CC"/>
          </w:tcPr>
          <w:p>
            <w:r/>
            <w:r>
              <w:rPr>
                <w:sz w:val="18"/>
              </w:rPr>
              <w:t>Short-interval follow-up (3개월) 또는 PET</w:t>
            </w:r>
          </w:p>
        </w:tc>
      </w:tr>
      <w:tr>
        <w:tc>
          <w:tcPr>
            <w:tcW w:type="dxa" w:w="680"/>
            <w:shd w:val="clear" w:color="auto" w:fill="F8CBAD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587"/>
            <w:shd w:val="clear" w:color="auto" w:fill="F8CBAD"/>
          </w:tcPr>
          <w:p>
            <w:r/>
            <w:r>
              <w:rPr>
                <w:sz w:val="18"/>
              </w:rPr>
              <w:t>High suspicion</w:t>
            </w:r>
          </w:p>
        </w:tc>
        <w:tc>
          <w:tcPr>
            <w:tcW w:type="dxa" w:w="3175"/>
            <w:shd w:val="clear" w:color="auto" w:fill="F8CBAD"/>
          </w:tcPr>
          <w:p>
            <w:r/>
            <w:r>
              <w:rPr>
                <w:sz w:val="18"/>
              </w:rPr>
              <w:t>New or enlarging discrete nodule/mass with differential enhancement</w:t>
            </w:r>
          </w:p>
        </w:tc>
        <w:tc>
          <w:tcPr>
            <w:tcW w:type="dxa" w:w="1928"/>
            <w:shd w:val="clear" w:color="auto" w:fill="F8CBAD"/>
          </w:tcPr>
          <w:p>
            <w:r/>
            <w:r>
              <w:rPr>
                <w:sz w:val="18"/>
              </w:rPr>
              <w:t>Intense focal uptake</w:t>
            </w:r>
          </w:p>
        </w:tc>
        <w:tc>
          <w:tcPr>
            <w:tcW w:type="dxa" w:w="2268"/>
            <w:shd w:val="clear" w:color="auto" w:fill="F8CBAD"/>
          </w:tcPr>
          <w:p>
            <w:r/>
            <w:r>
              <w:rPr>
                <w:sz w:val="18"/>
              </w:rPr>
              <w:t>Biopsy (image-guided 또는 clinical)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587"/>
            <w:shd w:val="clear" w:color="auto" w:fill="F4B183"/>
          </w:tcPr>
          <w:p>
            <w:r/>
            <w:r>
              <w:rPr>
                <w:sz w:val="18"/>
              </w:rPr>
              <w:t>Definite recurrence</w:t>
            </w:r>
          </w:p>
        </w:tc>
        <w:tc>
          <w:tcPr>
            <w:tcW w:type="dxa" w:w="3175"/>
            <w:shd w:val="clear" w:color="auto" w:fill="F4B183"/>
          </w:tcPr>
          <w:p>
            <w:r/>
            <w:r>
              <w:rPr>
                <w:sz w:val="18"/>
              </w:rPr>
              <w:t>Pathologically proven 또는 definite radiologic &amp; clinical progression</w:t>
            </w:r>
          </w:p>
        </w:tc>
        <w:tc>
          <w:tcPr>
            <w:tcW w:type="dxa" w:w="1928"/>
            <w:shd w:val="clear" w:color="auto" w:fill="F4B18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B183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Aiken 2018 White Paper 표를 재인용한 PMC13454081 Table 1 (Aiken et al.); PMC12024659; Cureus 2026, doi:10.7759/cureus.103321 (PMC12981607)</w:t>
      </w:r>
    </w:p>
    <w:p>
      <w:pPr>
        <w:spacing w:before="160"/>
      </w:pPr>
      <w:r>
        <w:rPr>
          <w:b/>
          <w:i w:val="0"/>
          <w:color w:val="1F3A5F"/>
          <w:sz w:val="23"/>
        </w:rPr>
        <w:t>4-2. Neck (경부 림프절)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CECT 소견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FDG PET 소견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관리권고</w:t>
            </w:r>
          </w:p>
        </w:tc>
      </w:tr>
      <w:tr>
        <w:tc>
          <w:tcPr>
            <w:tcW w:type="dxa" w:w="680"/>
            <w:shd w:val="clear" w:color="auto" w:fill="F2F2F2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sz w:val="18"/>
              </w:rPr>
              <w:t>Incomplete</w:t>
            </w:r>
          </w:p>
        </w:tc>
        <w:tc>
          <w:tcPr>
            <w:tcW w:type="dxa" w:w="3175"/>
            <w:shd w:val="clear" w:color="auto" w:fill="F2F2F2"/>
          </w:tcPr>
          <w:p>
            <w:r/>
            <w:r>
              <w:rPr>
                <w:sz w:val="18"/>
              </w:rPr>
              <w:t>Primary와 동일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680"/>
            <w:shd w:val="clear" w:color="auto" w:fill="E2F0D9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587"/>
            <w:shd w:val="clear" w:color="auto" w:fill="E2F0D9"/>
          </w:tcPr>
          <w:p>
            <w:r/>
            <w:r>
              <w:rPr>
                <w:sz w:val="18"/>
              </w:rPr>
              <w:t>No evidence of recurrence</w:t>
            </w:r>
          </w:p>
        </w:tc>
        <w:tc>
          <w:tcPr>
            <w:tcW w:type="dxa" w:w="3175"/>
            <w:shd w:val="clear" w:color="auto" w:fill="E2F0D9"/>
          </w:tcPr>
          <w:p>
            <w:r/>
            <w:r>
              <w:rPr>
                <w:sz w:val="18"/>
              </w:rPr>
              <w:t>Abnormal node 없음; 치료된 node의 expected change 포함</w:t>
            </w:r>
          </w:p>
        </w:tc>
        <w:tc>
          <w:tcPr>
            <w:tcW w:type="dxa" w:w="1928"/>
            <w:shd w:val="clear" w:color="auto" w:fill="E2F0D9"/>
          </w:tcPr>
          <w:p>
            <w:r/>
            <w:r>
              <w:rPr>
                <w:sz w:val="18"/>
              </w:rPr>
              <w:t>No abnormal uptake</w:t>
            </w:r>
          </w:p>
        </w:tc>
        <w:tc>
          <w:tcPr>
            <w:tcW w:type="dxa" w:w="2268"/>
            <w:shd w:val="clear" w:color="auto" w:fill="E2F0D9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2CC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sz w:val="18"/>
              </w:rPr>
              <w:t>Low suspicion</w:t>
            </w:r>
          </w:p>
        </w:tc>
        <w:tc>
          <w:tcPr>
            <w:tcW w:type="dxa" w:w="3175"/>
            <w:shd w:val="clear" w:color="auto" w:fill="FFF2CC"/>
          </w:tcPr>
          <w:p>
            <w:r/>
            <w:r>
              <w:rPr>
                <w:sz w:val="18"/>
              </w:rPr>
              <w:t>Enlarging node, 단 new necrosis 또는 gross ENE 없음</w:t>
            </w:r>
          </w:p>
        </w:tc>
        <w:tc>
          <w:tcPr>
            <w:tcW w:type="dxa" w:w="1928"/>
            <w:shd w:val="clear" w:color="auto" w:fill="FFF2CC"/>
          </w:tcPr>
          <w:p>
            <w:r/>
            <w:r>
              <w:rPr>
                <w:sz w:val="18"/>
              </w:rPr>
              <w:t>Mild–moderate uptake</w:t>
            </w:r>
          </w:p>
        </w:tc>
        <w:tc>
          <w:tcPr>
            <w:tcW w:type="dxa" w:w="2268"/>
            <w:shd w:val="clear" w:color="auto" w:fill="FFF2CC"/>
          </w:tcPr>
          <w:p>
            <w:r/>
            <w:r>
              <w:rPr>
                <w:sz w:val="18"/>
              </w:rPr>
              <w:t>Short-interval follow-up 또는 PET 추가</w:t>
            </w:r>
          </w:p>
        </w:tc>
      </w:tr>
      <w:tr>
        <w:tc>
          <w:tcPr>
            <w:tcW w:type="dxa" w:w="680"/>
            <w:shd w:val="clear" w:color="auto" w:fill="F8CBAD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587"/>
            <w:shd w:val="clear" w:color="auto" w:fill="F8CBAD"/>
          </w:tcPr>
          <w:p>
            <w:r/>
            <w:r>
              <w:rPr>
                <w:sz w:val="18"/>
              </w:rPr>
              <w:t>High suspicion</w:t>
            </w:r>
          </w:p>
        </w:tc>
        <w:tc>
          <w:tcPr>
            <w:tcW w:type="dxa" w:w="3175"/>
            <w:shd w:val="clear" w:color="auto" w:fill="F8CBAD"/>
          </w:tcPr>
          <w:p>
            <w:r/>
            <w:r>
              <w:rPr>
                <w:sz w:val="18"/>
              </w:rPr>
              <w:t>New or enlarging node + 형태학적 이상(new necrosis 또는 gross ENE)</w:t>
            </w:r>
          </w:p>
        </w:tc>
        <w:tc>
          <w:tcPr>
            <w:tcW w:type="dxa" w:w="1928"/>
            <w:shd w:val="clear" w:color="auto" w:fill="F8CBAD"/>
          </w:tcPr>
          <w:p>
            <w:r/>
            <w:r>
              <w:rPr>
                <w:sz w:val="18"/>
              </w:rPr>
              <w:t>Intense focal uptake</w:t>
            </w:r>
          </w:p>
        </w:tc>
        <w:tc>
          <w:tcPr>
            <w:tcW w:type="dxa" w:w="2268"/>
            <w:shd w:val="clear" w:color="auto" w:fill="F8CBAD"/>
          </w:tcPr>
          <w:p>
            <w:r/>
            <w:r>
              <w:rPr>
                <w:sz w:val="18"/>
              </w:rPr>
              <w:t>Biopsy (FNA 등)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587"/>
            <w:shd w:val="clear" w:color="auto" w:fill="F4B183"/>
          </w:tcPr>
          <w:p>
            <w:r/>
            <w:r>
              <w:rPr>
                <w:sz w:val="18"/>
              </w:rPr>
              <w:t>Definite recurrence</w:t>
            </w:r>
          </w:p>
        </w:tc>
        <w:tc>
          <w:tcPr>
            <w:tcW w:type="dxa" w:w="3175"/>
            <w:shd w:val="clear" w:color="auto" w:fill="F4B183"/>
          </w:tcPr>
          <w:p>
            <w:r/>
            <w:r>
              <w:rPr>
                <w:sz w:val="18"/>
              </w:rPr>
              <w:t>Pathologically proven 또는 definite progression</w:t>
            </w:r>
          </w:p>
        </w:tc>
        <w:tc>
          <w:tcPr>
            <w:tcW w:type="dxa" w:w="1928"/>
            <w:shd w:val="clear" w:color="auto" w:fill="F4B18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4B183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pPr>
        <w:pStyle w:val="ListBullet"/>
      </w:pPr>
      <w:r>
        <w:t>'Definitive morphologic abnormal feature' = new necrosis 또는 인접 구조 침범으로 증명되는 gross extranodal extension</w:t>
      </w:r>
    </w:p>
    <w:p>
      <w:pPr>
        <w:pStyle w:val="ListBullet"/>
      </w:pPr>
      <w:r>
        <w:t>Neck에는 2a/2b 구분이 없음 (primary site만 세분)</w:t>
      </w:r>
    </w:p>
    <w:p>
      <w:r>
        <w:rPr>
          <w:b w:val="0"/>
          <w:i/>
          <w:color w:val="666666"/>
          <w:sz w:val="17"/>
        </w:rPr>
        <w:t>출처: PMC13454081 Table 1 footnote; PMC12981607 Discussion; Dagher et al. AJNR 2025, doi:10.3174/ajnr.A8717 (Neck 2 관리: close f/u 또는 PET)</w:t>
      </w:r>
    </w:p>
    <w:p>
      <w:pPr>
        <w:spacing w:before="160"/>
      </w:pPr>
      <w:r>
        <w:rPr>
          <w:b/>
          <w:i w:val="0"/>
          <w:color w:val="1F3A5F"/>
          <w:sz w:val="23"/>
        </w:rPr>
        <w:t>4-3. 판독 실전 포인트</w:t>
      </w:r>
    </w:p>
    <w:p>
      <w:pPr>
        <w:pStyle w:val="ListBullet"/>
      </w:pPr>
      <w:r>
        <w:t>Pre-treatment 영상과의 비교가 필수: 재발 종양은 원발 종양과 유사한 영상 특징을 보이는 경우가 많음</w:t>
      </w:r>
    </w:p>
    <w:p>
      <w:pPr>
        <w:pStyle w:val="ListBullet"/>
      </w:pPr>
      <w:r>
        <w:t>이전 post-treatment 영상 비교도 중요: 새로 생긴 소견 &gt; 여러 차례 안정적인 소견 순으로 의심도 높게</w:t>
      </w:r>
    </w:p>
    <w:p>
      <w:pPr>
        <w:pStyle w:val="ListBullet"/>
      </w:pPr>
      <w:r>
        <w:t>재발 호발 부위(수술 후): resection margin, reconstructed flap margin, deep anatomic site (Hiyama 등)</w:t>
      </w:r>
    </w:p>
    <w:p>
      <w:pPr>
        <w:pStyle w:val="ListBullet"/>
      </w:pPr>
      <w:r>
        <w:t>MRI가 PET/CT보다 우선: perineural spread 의심 시 (FDG PET은 PNS에 상대적으로 둔감)</w:t>
      </w:r>
    </w:p>
    <w:p>
      <w:pPr>
        <w:pStyle w:val="ListBullet"/>
      </w:pPr>
      <w:r>
        <w:t>Category 2는 판독자 간 편차가 가장 큰 'gray zone' — 치료 후 변화·염증·섬유화의 중첩</w:t>
      </w:r>
    </w:p>
    <w:p>
      <w:r>
        <w:rPr>
          <w:b w:val="0"/>
          <w:i/>
          <w:color w:val="666666"/>
          <w:sz w:val="17"/>
        </w:rPr>
        <w:t>출처: PMC12805746 'NI-RADS categories and diagnostic performance'; PMC12024659 §4</w:t>
      </w:r>
    </w:p>
    <w:p>
      <w:pPr>
        <w:spacing w:before="280"/>
      </w:pPr>
      <w:r>
        <w:rPr>
          <w:b/>
          <w:i w:val="0"/>
          <w:color w:val="1F3A5F"/>
          <w:sz w:val="28"/>
        </w:rPr>
        <w:t>5. NI-RADS MRI version 2025</w:t>
      </w:r>
    </w:p>
    <w:p>
      <w:pPr>
        <w:spacing w:before="160"/>
      </w:pPr>
      <w:r>
        <w:rPr>
          <w:b/>
          <w:i w:val="0"/>
          <w:color w:val="1F3A5F"/>
          <w:sz w:val="23"/>
        </w:rPr>
        <w:t>5-1. 개정 배경과 구조</w:t>
      </w:r>
    </w:p>
    <w:p>
      <w:pPr>
        <w:pStyle w:val="ListBullet"/>
      </w:pPr>
      <w:r>
        <w:t>2018 버전은 CT/PET 기준이라 MRI에 '이론상 변형 적용'만 가능했고 MRI 전용 지침이 없었음</w:t>
      </w:r>
    </w:p>
    <w:p>
      <w:pPr>
        <w:pStyle w:val="ListBullet"/>
      </w:pPr>
      <w:r>
        <w:t>MRI 2025는 category descriptor, imaging finding, management guidance를 MRI 전용으로 제시</w:t>
      </w:r>
    </w:p>
    <w:p>
      <w:pPr>
        <w:pStyle w:val="ListBullet"/>
      </w:pPr>
      <w:r>
        <w:t>관리 알고리즘은 기존 NI-RADS PET/CT와 동일한 골격(1 routine → 2 inspection/short f/u → 3 biopsy → 4 clinical)</w:t>
      </w:r>
    </w:p>
    <w:p>
      <w:pPr>
        <w:pStyle w:val="ListBullet"/>
      </w:pPr>
      <w:r>
        <w:t>Primary site 2a (mucosal) / 2b (deep) 구분 유지</w:t>
      </w:r>
    </w:p>
    <w:p>
      <w:pPr>
        <w:pStyle w:val="ListBullet"/>
      </w:pPr>
      <w:r>
        <w:t>Neck score는 FOV 미포함 시 'X – not assessed'</w:t>
      </w:r>
    </w:p>
    <w:p>
      <w:r>
        <w:rPr>
          <w:b w:val="0"/>
          <w:i/>
          <w:color w:val="666666"/>
          <w:sz w:val="17"/>
        </w:rPr>
        <w:t>출처: Bunch 2025 JACR abstract (PMID 40754125); PMC12805746</w:t>
      </w:r>
    </w:p>
    <w:p>
      <w:pPr>
        <w:spacing w:before="160"/>
      </w:pPr>
      <w:r>
        <w:rPr>
          <w:b/>
          <w:i w:val="0"/>
          <w:color w:val="1F3A5F"/>
          <w:sz w:val="23"/>
        </w:rPr>
        <w:t>5-2. MRI에서 재발을 시사하는 핵심 신호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재발/잔존 종양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치료 후 양성 변화 (scar/fibrosis)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T2WI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Intermediate T2 signal (원발 종양과 유사)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Low T2 (scar/fibrosis)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DWI / ADC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Low diffusivity (restricted); 초기 연구 ADC threshold 1.3 × 10⁻³ mm²/s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Low diffusivity 없음 (ADC 높음)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T1 (non-CE)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Non-mass-like distortion, low T1·low T2 → scar/fibrosis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CE-T1 FS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Mass-like / discrete enhancement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Diffuse thin linear 또는 non-mass-like enhancement</w:t>
            </w:r>
          </w:p>
        </w:tc>
      </w:tr>
    </w:tbl>
    <w:p/>
    <w:p>
      <w:pPr>
        <w:pStyle w:val="ListBullet"/>
      </w:pPr>
      <w:r>
        <w:t>T2 intermediate signal + DWI low ADC를 조합한 초기 MRI 연구에서 primary·nodal 모두 PPV &gt; 80%</w:t>
      </w:r>
    </w:p>
    <w:p>
      <w:pPr>
        <w:pStyle w:val="ListBullet"/>
      </w:pPr>
      <w:r>
        <w:t>Ashour et al. (AJNR 2021, n=69): T2·DWI를 NI-RADS modifying rule로 추가 시</w:t>
      </w:r>
    </w:p>
    <w:p>
      <w:pPr>
        <w:pStyle w:val="ListBullet2"/>
      </w:pPr>
      <w:r>
        <w:t>Sensitivity 92.3% vs 84.6%, Specificity 90.7% vs 81.4%</w:t>
      </w:r>
    </w:p>
    <w:p>
      <w:pPr>
        <w:pStyle w:val="ListBullet2"/>
      </w:pPr>
      <w:r>
        <w:t>PPV 85.7% vs 73.3%, NPV 95.1% vs 89.8%, Accuracy 91.3% vs 82.6% (proposed vs 기존 lexicon)</w:t>
      </w:r>
    </w:p>
    <w:p>
      <w:pPr>
        <w:pStyle w:val="ListBullet"/>
      </w:pPr>
      <w:r>
        <w:t>[원문 대조 필요] MRI 2025 공식 chart의 category별 정확한 문구(예: T2/DWI가 category를 올리거나 내리는 규칙)는 ACR NI-RADS 웹페이지 또는 JACR 원문에서 확인 요망 — 본 노트 작성 시 원문 열람 불가</w:t>
      </w:r>
    </w:p>
    <w:p>
      <w:r>
        <w:rPr>
          <w:b w:val="0"/>
          <w:i/>
          <w:color w:val="666666"/>
          <w:sz w:val="17"/>
        </w:rPr>
        <w:t>출처: PMC12805746 Fig.1·Fig.3 설명 및 'NI-RADS 3'; Ashour MM, et al. AJNR 2021;42:1123–9, doi:10.3174/ajnr.A7058 (PMC8191657); Radiol Med 2026, doi:10.1007/s11547-026-02206-z (PMC13369041) Discussion</w:t>
      </w:r>
    </w:p>
    <w:p>
      <w:pPr>
        <w:spacing w:before="160"/>
      </w:pPr>
      <w:r>
        <w:rPr>
          <w:b/>
          <w:i w:val="0"/>
          <w:color w:val="1F3A5F"/>
          <w:sz w:val="23"/>
        </w:rPr>
        <w:t>5-3. MRI NI-RADS 신뢰도 (판독자 간 일치도)</w:t>
      </w:r>
    </w:p>
    <w:p>
      <w:pPr>
        <w:pStyle w:val="ListBullet"/>
      </w:pPr>
      <w:r>
        <w:t>OPSCC CE-MRI, 5인 판독(91명, 218검사): NI-RADS κ = 0.53 (moderate), POA 89%</w:t>
      </w:r>
    </w:p>
    <w:p>
      <w:pPr>
        <w:pStyle w:val="ListBullet2"/>
      </w:pPr>
      <w:r>
        <w:t>첫 치료 후 MRI에서 lymph node(κ 0.37)·primary site enhancement(κ 0.40) 평가 일치도가 가장 낮음</w:t>
      </w:r>
    </w:p>
    <w:p>
      <w:pPr>
        <w:pStyle w:val="ListBullet2"/>
      </w:pPr>
      <w:r>
        <w:t>비전문가(일반 영상의학·전공의)에서 일치도 더 낮음 → 첫 추적 MRI가 가장 어렵다</w:t>
      </w:r>
    </w:p>
    <w:p>
      <w:pPr>
        <w:pStyle w:val="ListBullet"/>
      </w:pPr>
      <w:r>
        <w:t>Elsholtz et al. CE-MRI: primary κ 0.53, neck κ 0.67, DWI(primary) κ 0.83</w:t>
      </w:r>
    </w:p>
    <w:p>
      <w:pPr>
        <w:pStyle w:val="ListBullet"/>
      </w:pPr>
      <w:r>
        <w:t>Abdelaziz et al.: 최종 category κ primary 0.808 / LN 0.806; CT &gt; MRI (κ 0.843 vs 0.77)</w:t>
      </w:r>
    </w:p>
    <w:p>
      <w:r>
        <w:rPr>
          <w:b w:val="0"/>
          <w:i/>
          <w:color w:val="666666"/>
          <w:sz w:val="17"/>
        </w:rPr>
        <w:t>출처: PMC13369041; PMC12024659 §5; Abdelaziz TT, et al. Cancer Imaging 2020, doi:10.1186/s40644-020-00337-8 (PMC7437031)</w:t>
      </w:r>
    </w:p>
    <w:p>
      <w:pPr>
        <w:spacing w:before="280"/>
      </w:pPr>
      <w:r>
        <w:rPr>
          <w:b/>
          <w:i w:val="0"/>
          <w:color w:val="1F3A5F"/>
          <w:sz w:val="28"/>
        </w:rPr>
        <w:t>6. 진단 성능 (Evidence)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연구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설계/대상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주요 결과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Baba 2023 (AJNR) 메타분석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7개 연구, 694명, 1233 병변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재발률 Primary 1/2/3 = 4.2/29.0/74.4%; Neck = 3.5/14.3/73.3%. SROC AUC(cutoff 3): primary 0.887, LN 0.983 &gt; cutoff 2 (0.869, 0.919)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Krieger 2017 (AJNR)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318 scans, 618 targets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양성률 1/2/3 = 3.79/17.2/59.4% (p&lt;.001)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Hsu 2019 (OHNS)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199명, 12주 PET/CECT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Treatment failure 1/2/3 = 4.3/9.1/42.1%; HR primary 2.60, neck 5.22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Johansson 2022 (Laryngoscope)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Surveillance CT NI-RADS 3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NI-RADS 3 발생 7%, biopsy rate 45%, PPV 71%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Qian 2020 (Laryngoscope)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OSCC 220명, adjuvant 후 3개월 PET/CT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Suspicious(≥3) → local failure HR 14.0, OS HR 9.5; Sens 58%, Spec 92%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Dagher 2025 (AJNR)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CECT Neck NI-RADS 2 90명 → US/US-FNA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재발 20%; US/US-FNA Sens 81.8%, Acc 95.6%, NPV 94.4%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Baba doi:10.3174/ajnr.A7992; Krieger doi:10.3174/ajnr.A5157 (PMC7960090); Hsu doi:10.1177/0194599819865235; Johansson doi:10.1002/lary.30025; Qian doi:10.1002/lary.28509; Dagher doi:10.3174/ajnr.A8717 — 모두 PubMed abstract 기준</w:t>
      </w:r>
    </w:p>
    <w:p>
      <w:pPr>
        <w:spacing w:before="160"/>
      </w:pPr>
      <w:r>
        <w:rPr>
          <w:b/>
          <w:i w:val="0"/>
          <w:color w:val="1F3A5F"/>
          <w:sz w:val="23"/>
        </w:rPr>
        <w:t>판독자 간 일치도 (CT/PET)</w:t>
      </w:r>
    </w:p>
    <w:p>
      <w:pPr>
        <w:pStyle w:val="ListBullet"/>
      </w:pPr>
      <w:r>
        <w:t>Hsu 2021 (8명, 7기관, PET/CECT 80예): category Light κ primary 0.55, neck 0.60 / lexicon κ 0.30–0.31</w:t>
      </w:r>
    </w:p>
    <w:p>
      <w:pPr>
        <w:pStyle w:val="ListBullet"/>
      </w:pPr>
      <w:r>
        <w:t>→ 개별 lexicon 용어보다 최종 category 일치도가 더 높음</w:t>
      </w:r>
    </w:p>
    <w:p>
      <w:r>
        <w:rPr>
          <w:b w:val="0"/>
          <w:i/>
          <w:color w:val="666666"/>
          <w:sz w:val="17"/>
        </w:rPr>
        <w:t>출처: Hsu et al. Radiol Imaging Cancer 2021, doi:10.1148/rycan.2021200131 (PMC8183259)</w:t>
      </w:r>
    </w:p>
    <w:p>
      <w:pPr>
        <w:spacing w:before="280"/>
      </w:pPr>
      <w:r>
        <w:rPr>
          <w:b/>
          <w:i w:val="0"/>
          <w:color w:val="1F3A5F"/>
          <w:sz w:val="28"/>
        </w:rPr>
        <w:t>7. 향후 방향 / 확장 주제</w:t>
      </w:r>
    </w:p>
    <w:p>
      <w:pPr>
        <w:pStyle w:val="ListBullet"/>
      </w:pPr>
      <w:r>
        <w:t>Ultrasound: Neck NI-RADS 2 평가에 US/US-FNA 유용; Neck 3에서 정상 US는 1로 downgrade 가능성 제시(연구 단계)</w:t>
      </w:r>
    </w:p>
    <w:p>
      <w:pPr>
        <w:pStyle w:val="ListBullet"/>
      </w:pPr>
      <w:r>
        <w:t>TTMV-HPV DNA (HPV-related OPSCC): 영상보다 먼저 재발 시사 가능 — 아직 NI-RADS 미포함</w:t>
      </w:r>
    </w:p>
    <w:p>
      <w:pPr>
        <w:pStyle w:val="ListBullet"/>
      </w:pPr>
      <w:r>
        <w:t>Advanced MRI: DCE, ASL, perfusion, radiomics/ML, PET/MRI</w:t>
      </w:r>
    </w:p>
    <w:p>
      <w:pPr>
        <w:pStyle w:val="ListBullet"/>
      </w:pPr>
      <w:r>
        <w:t>DECT: normalized iodine concentration을 이용한 DECT NI-RADS 제안 (예비연구, Neuroradiol J 2026)</w:t>
      </w:r>
    </w:p>
    <w:p>
      <w:pPr>
        <w:pStyle w:val="ListBullet"/>
      </w:pPr>
      <w:r>
        <w:t>면역치료(pembrolizumab, cemiplimab) 관련 변화의 descriptor 추가 가능성</w:t>
      </w:r>
    </w:p>
    <w:p>
      <w:r>
        <w:rPr>
          <w:b w:val="0"/>
          <w:i/>
          <w:color w:val="666666"/>
          <w:sz w:val="17"/>
        </w:rPr>
        <w:t>출처: PMC12805746 'Evolving concepts'; Neuroradiol J 2026, doi:10.1177/19714009261481791 (PMC13518607)</w:t>
      </w:r>
    </w:p>
    <w:p>
      <w:pPr>
        <w:spacing w:before="280"/>
      </w:pPr>
      <w:r>
        <w:rPr>
          <w:b/>
          <w:i w:val="0"/>
          <w:color w:val="1F3A5F"/>
          <w:sz w:val="28"/>
        </w:rPr>
        <w:t>8. 최종 정리표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(CECT/PET)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Neck (CECT/PET)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MRI 2025 핵심 보조소견</w:t>
            </w:r>
          </w:p>
        </w:tc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재발률* P / N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비교할 이전 영상 대기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동일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Addendum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37"/>
            <w:shd w:val="clear" w:color="auto" w:fill="E2F0D9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2381"/>
            <w:shd w:val="clear" w:color="auto" w:fill="E2F0D9"/>
          </w:tcPr>
          <w:p>
            <w:r/>
            <w:r>
              <w:rPr>
                <w:sz w:val="18"/>
              </w:rPr>
              <w:t>Non-mass-like distortion, mucoid edema, diffuse linear enh. / no uptake</w:t>
            </w:r>
          </w:p>
        </w:tc>
        <w:tc>
          <w:tcPr>
            <w:tcW w:type="dxa" w:w="2154"/>
            <w:shd w:val="clear" w:color="auto" w:fill="E2F0D9"/>
          </w:tcPr>
          <w:p>
            <w:r/>
            <w:r>
              <w:rPr>
                <w:sz w:val="18"/>
              </w:rPr>
              <w:t>Abnormal node 없음</w:t>
            </w:r>
          </w:p>
        </w:tc>
        <w:tc>
          <w:tcPr>
            <w:tcW w:type="dxa" w:w="1701"/>
            <w:shd w:val="clear" w:color="auto" w:fill="E2F0D9"/>
          </w:tcPr>
          <w:p>
            <w:r/>
            <w:r>
              <w:rPr>
                <w:sz w:val="18"/>
              </w:rPr>
              <w:t>Low T1·low T2 scar</w:t>
            </w:r>
          </w:p>
        </w:tc>
        <w:tc>
          <w:tcPr>
            <w:tcW w:type="dxa" w:w="1304"/>
            <w:shd w:val="clear" w:color="auto" w:fill="E2F0D9"/>
          </w:tcPr>
          <w:p>
            <w:r/>
            <w:r>
              <w:rPr>
                <w:sz w:val="18"/>
              </w:rPr>
              <w:t>Routine</w:t>
            </w:r>
          </w:p>
        </w:tc>
        <w:tc>
          <w:tcPr>
            <w:tcW w:type="dxa" w:w="1361"/>
            <w:shd w:val="clear" w:color="auto" w:fill="E2F0D9"/>
          </w:tcPr>
          <w:p>
            <w:r/>
            <w:r>
              <w:rPr>
                <w:sz w:val="18"/>
              </w:rPr>
              <w:t>4.2% / 3.5%</w:t>
            </w:r>
          </w:p>
        </w:tc>
      </w:tr>
      <w:tr>
        <w:tc>
          <w:tcPr>
            <w:tcW w:type="dxa" w:w="737"/>
            <w:shd w:val="clear" w:color="auto" w:fill="FFF2CC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2381"/>
            <w:shd w:val="clear" w:color="auto" w:fill="FFF2CC"/>
          </w:tcPr>
          <w:p>
            <w:r/>
            <w:r>
              <w:rPr>
                <w:sz w:val="18"/>
              </w:rPr>
              <w:t>Focal mucosal non-mass enh. / mild–mod mucosal uptake</w:t>
            </w:r>
          </w:p>
        </w:tc>
        <w:tc>
          <w:tcPr>
            <w:tcW w:type="dxa" w:w="2154"/>
            <w:shd w:val="clear" w:color="auto" w:fill="FFF2CC"/>
          </w:tcPr>
          <w:p>
            <w:r/>
            <w:r>
              <w:rPr>
                <w:sz w:val="18"/>
              </w:rPr>
              <w:t>(해당 없음)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  <w:shd w:val="clear" w:color="auto" w:fill="FFF2CC"/>
          </w:tcPr>
          <w:p>
            <w:r/>
            <w:r>
              <w:rPr>
                <w:sz w:val="18"/>
              </w:rPr>
              <w:t>Direct inspection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sz w:val="18"/>
              </w:rPr>
              <w:t>29.0% (2 전체) / —</w:t>
            </w:r>
          </w:p>
        </w:tc>
      </w:tr>
      <w:tr>
        <w:tc>
          <w:tcPr>
            <w:tcW w:type="dxa" w:w="737"/>
            <w:shd w:val="clear" w:color="auto" w:fill="FFF2CC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2381"/>
            <w:shd w:val="clear" w:color="auto" w:fill="FFF2CC"/>
          </w:tcPr>
          <w:p>
            <w:r/>
            <w:r>
              <w:rPr>
                <w:sz w:val="18"/>
              </w:rPr>
              <w:t>Deep ill-defined, little/no diff. enh. / mild–mod uptake</w:t>
            </w:r>
          </w:p>
        </w:tc>
        <w:tc>
          <w:tcPr>
            <w:tcW w:type="dxa" w:w="2154"/>
            <w:shd w:val="clear" w:color="auto" w:fill="FFF2CC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  <w:shd w:val="clear" w:color="auto" w:fill="FFF2CC"/>
          </w:tcPr>
          <w:p>
            <w:r/>
            <w:r>
              <w:rPr>
                <w:sz w:val="18"/>
              </w:rPr>
              <w:t>3개월 f/u 또는 PET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sz w:val="18"/>
              </w:rPr>
              <w:t>↑</w:t>
            </w:r>
          </w:p>
        </w:tc>
      </w:tr>
      <w:tr>
        <w:tc>
          <w:tcPr>
            <w:tcW w:type="dxa" w:w="737"/>
            <w:shd w:val="clear" w:color="auto" w:fill="FFF2CC"/>
          </w:tcPr>
          <w:p>
            <w:r/>
            <w:r>
              <w:rPr>
                <w:b/>
                <w:sz w:val="18"/>
              </w:rPr>
              <w:t>2 (Neck)</w:t>
            </w:r>
          </w:p>
        </w:tc>
        <w:tc>
          <w:tcPr>
            <w:tcW w:type="dxa" w:w="2381"/>
            <w:shd w:val="clear" w:color="auto" w:fill="FFF2CC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54"/>
            <w:shd w:val="clear" w:color="auto" w:fill="FFF2CC"/>
          </w:tcPr>
          <w:p>
            <w:r/>
            <w:r>
              <w:rPr>
                <w:sz w:val="18"/>
              </w:rPr>
              <w:t>Enlarging node, no new necrosis/ENE / mild–mod uptake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  <w:shd w:val="clear" w:color="auto" w:fill="FFF2CC"/>
          </w:tcPr>
          <w:p>
            <w:r/>
            <w:r>
              <w:rPr>
                <w:sz w:val="18"/>
              </w:rPr>
              <w:t>Short f/u 또는 PET</w:t>
            </w:r>
          </w:p>
        </w:tc>
        <w:tc>
          <w:tcPr>
            <w:tcW w:type="dxa" w:w="1361"/>
            <w:shd w:val="clear" w:color="auto" w:fill="FFF2CC"/>
          </w:tcPr>
          <w:p>
            <w:r/>
            <w:r>
              <w:rPr>
                <w:sz w:val="18"/>
              </w:rPr>
              <w:t>— / 14.3%</w:t>
            </w:r>
          </w:p>
        </w:tc>
      </w:tr>
      <w:tr>
        <w:tc>
          <w:tcPr>
            <w:tcW w:type="dxa" w:w="737"/>
            <w:shd w:val="clear" w:color="auto" w:fill="F8CBAD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2381"/>
            <w:shd w:val="clear" w:color="auto" w:fill="F8CBAD"/>
          </w:tcPr>
          <w:p>
            <w:r/>
            <w:r>
              <w:rPr>
                <w:sz w:val="18"/>
              </w:rPr>
              <w:t>New/enlarging discrete mass + diff. enh. / intense uptake</w:t>
            </w:r>
          </w:p>
        </w:tc>
        <w:tc>
          <w:tcPr>
            <w:tcW w:type="dxa" w:w="2154"/>
            <w:shd w:val="clear" w:color="auto" w:fill="F8CBAD"/>
          </w:tcPr>
          <w:p>
            <w:r/>
            <w:r>
              <w:rPr>
                <w:sz w:val="18"/>
              </w:rPr>
              <w:t>New/enlarging node + new necrosis 또는 gross ENE / intense uptake</w:t>
            </w:r>
          </w:p>
        </w:tc>
        <w:tc>
          <w:tcPr>
            <w:tcW w:type="dxa" w:w="1701"/>
            <w:shd w:val="clear" w:color="auto" w:fill="F8CBAD"/>
          </w:tcPr>
          <w:p>
            <w:r/>
            <w:r>
              <w:rPr>
                <w:sz w:val="18"/>
              </w:rPr>
              <w:t>Intermediate T2 + low ADC</w:t>
            </w:r>
          </w:p>
        </w:tc>
        <w:tc>
          <w:tcPr>
            <w:tcW w:type="dxa" w:w="1304"/>
            <w:shd w:val="clear" w:color="auto" w:fill="F8CBAD"/>
          </w:tcPr>
          <w:p>
            <w:r/>
            <w:r>
              <w:rPr>
                <w:sz w:val="18"/>
              </w:rPr>
              <w:t>Biopsy</w:t>
            </w:r>
          </w:p>
        </w:tc>
        <w:tc>
          <w:tcPr>
            <w:tcW w:type="dxa" w:w="1361"/>
            <w:shd w:val="clear" w:color="auto" w:fill="F8CBAD"/>
          </w:tcPr>
          <w:p>
            <w:r/>
            <w:r>
              <w:rPr>
                <w:sz w:val="18"/>
              </w:rPr>
              <w:t>74.4% / 73.3%</w:t>
            </w:r>
          </w:p>
        </w:tc>
      </w:tr>
      <w:tr>
        <w:tc>
          <w:tcPr>
            <w:tcW w:type="dxa" w:w="737"/>
            <w:shd w:val="clear" w:color="auto" w:fill="F4B183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2381"/>
            <w:shd w:val="clear" w:color="auto" w:fill="F4B183"/>
          </w:tcPr>
          <w:p>
            <w:r/>
            <w:r>
              <w:rPr>
                <w:sz w:val="18"/>
              </w:rPr>
              <w:t>Proven 또는 definite progression</w:t>
            </w:r>
          </w:p>
        </w:tc>
        <w:tc>
          <w:tcPr>
            <w:tcW w:type="dxa" w:w="2154"/>
            <w:shd w:val="clear" w:color="auto" w:fill="F4B183"/>
          </w:tcPr>
          <w:p>
            <w:r/>
            <w:r>
              <w:rPr>
                <w:sz w:val="18"/>
              </w:rPr>
              <w:t>동일</w:t>
            </w:r>
          </w:p>
        </w:tc>
        <w:tc>
          <w:tcPr>
            <w:tcW w:type="dxa" w:w="1701"/>
            <w:shd w:val="clear" w:color="auto" w:fill="F4B18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  <w:shd w:val="clear" w:color="auto" w:fill="F4B183"/>
          </w:tcPr>
          <w:p>
            <w:r/>
            <w:r>
              <w:rPr>
                <w:sz w:val="18"/>
              </w:rPr>
              <w:t>Clinical mx</w:t>
            </w:r>
          </w:p>
        </w:tc>
        <w:tc>
          <w:tcPr>
            <w:tcW w:type="dxa" w:w="1361"/>
            <w:shd w:val="clear" w:color="auto" w:fill="F4B183"/>
          </w:tcPr>
          <w:p>
            <w:r/>
            <w:r>
              <w:rPr>
                <w:sz w:val="18"/>
              </w:rPr>
              <w:t>100%(정의상)</w:t>
            </w:r>
          </w:p>
        </w:tc>
      </w:tr>
    </w:tbl>
    <w:p/>
    <w:p>
      <w:r>
        <w:rPr>
          <w:b w:val="0"/>
          <w:i w:val="0"/>
          <w:color w:val="666666"/>
          <w:sz w:val="17"/>
        </w:rPr>
        <w:t>* 재발률: Baba 2023 메타분석 pooled estimate (CT/PET 기반). MRI category별 재발률은 아직 검증 중.</w:t>
      </w:r>
    </w:p>
    <w:p>
      <w:pPr>
        <w:spacing w:before="280"/>
      </w:pPr>
      <w:r>
        <w:rPr>
          <w:b/>
          <w:i w:val="0"/>
          <w:color w:val="1F3A5F"/>
          <w:sz w:val="28"/>
        </w:rPr>
        <w:t>참고문헌 (PubMed 확인)</w:t>
      </w:r>
    </w:p>
    <w:p>
      <w:r>
        <w:rPr>
          <w:b w:val="0"/>
          <w:i w:val="0"/>
          <w:sz w:val="17"/>
        </w:rPr>
        <w:t>1. Aiken AH, et al. ACR Neck Imaging Reporting and Data Systems (NI-RADS): A White Paper of the ACR NI-RADS Committee. J Am Coll Radiol 2018. doi:10.1016/j.jacr.2018.05.006. PMID 29983244</w:t>
      </w:r>
    </w:p>
    <w:p>
      <w:r>
        <w:rPr>
          <w:b w:val="0"/>
          <w:i w:val="0"/>
          <w:sz w:val="17"/>
        </w:rPr>
        <w:t>2. Bunch PM, Aiken AH, Baugnon KL, Bazylewicz M, et al. ACR Neck Imaging Reporting and Data System for MRI Version 2025. J Am Coll Radiol 2025. doi:10.1016/j.jacr.2025.07.023. PMID 40754125</w:t>
      </w:r>
    </w:p>
    <w:p>
      <w:r>
        <w:rPr>
          <w:b w:val="0"/>
          <w:i w:val="0"/>
          <w:sz w:val="17"/>
        </w:rPr>
        <w:t>3. NI-RADS in posttreatment head and neck cancer surveillance: a framework for standardized imaging with clinical impact. Cancer Imaging 2026. doi:10.1186/s40644-026-00989-y. PMC12805746</w:t>
      </w:r>
    </w:p>
    <w:p>
      <w:r>
        <w:rPr>
          <w:b w:val="0"/>
          <w:i w:val="0"/>
          <w:sz w:val="17"/>
        </w:rPr>
        <w:t>4. Baba A, et al. Performance of NI-RADS for Diagnosis of Recurrence of HNSCC: Systematic Review and Meta-analysis. AJNR 2023. doi:10.3174/ajnr.A7992. PMC10549942</w:t>
      </w:r>
    </w:p>
    <w:p>
      <w:r>
        <w:rPr>
          <w:b w:val="0"/>
          <w:i w:val="0"/>
          <w:sz w:val="17"/>
        </w:rPr>
        <w:t>5. Aiken AH, et al. Implementation of a Novel Surveillance Template for Head and Neck Cancer: NI-RADS. J Am Coll Radiol 2016. doi:10.1016/j.jacr.2015.09.032. PMID 26577876</w:t>
      </w:r>
    </w:p>
    <w:p>
      <w:r>
        <w:rPr>
          <w:b w:val="0"/>
          <w:i w:val="0"/>
          <w:sz w:val="17"/>
        </w:rPr>
        <w:t>6. Krieger et al. Initial Performance of NI-RADS to Predict Residual or Recurrent HNSCC. AJNR 2017. doi:10.3174/ajnr.A5157. PMC7960090</w:t>
      </w:r>
    </w:p>
    <w:p>
      <w:r>
        <w:rPr>
          <w:b w:val="0"/>
          <w:i w:val="0"/>
          <w:sz w:val="17"/>
        </w:rPr>
        <w:t>7. Strauss et al. Best Practices: Application of NI-RADS for Posttreatment Surveillance Imaging of Head and Neck Cancer. AJR 2021. doi:10.2214/AJR.20.23841</w:t>
      </w:r>
    </w:p>
    <w:p>
      <w:r>
        <w:rPr>
          <w:b w:val="0"/>
          <w:i w:val="0"/>
          <w:sz w:val="17"/>
        </w:rPr>
        <w:t>8. Ashour MM, et al. MRI Posttreatment Surveillance for HNSCC: Proposed MR NI-RADS Criteria. AJNR 2021;42:1123–9. doi:10.3174/ajnr.A7058. PMC8191657</w:t>
      </w:r>
    </w:p>
    <w:p>
      <w:r>
        <w:rPr>
          <w:b w:val="0"/>
          <w:i w:val="0"/>
          <w:sz w:val="17"/>
        </w:rPr>
        <w:t>9. Abdelaziz TT, et al. Interreader reproducibility of the NI-RADS lexicon. Cancer Imaging 2020;20:61. doi:10.1186/s40644-020-00337-8. PMC7437031</w:t>
      </w:r>
    </w:p>
    <w:p>
      <w:r>
        <w:rPr>
          <w:b w:val="0"/>
          <w:i w:val="0"/>
          <w:sz w:val="17"/>
        </w:rPr>
        <w:t>10. Hsu et al. Interrater Reliability of NI-RADS on Posttreatment PET/CECT in HNSCC. Radiol Imaging Cancer 2021. doi:10.1148/rycan.2021200131. PMC8183259</w:t>
      </w:r>
    </w:p>
    <w:p>
      <w:r>
        <w:rPr>
          <w:b w:val="0"/>
          <w:i w:val="0"/>
          <w:sz w:val="17"/>
        </w:rPr>
        <w:t>11. Hsu et al. Predictive Value of First Posttreatment Imaging Using Standardized Reporting in Head and Neck Cancer. Otolaryngol Head Neck Surg 2019. doi:10.1177/0194599819865235</w:t>
      </w:r>
    </w:p>
    <w:p>
      <w:r>
        <w:rPr>
          <w:b w:val="0"/>
          <w:i w:val="0"/>
          <w:sz w:val="17"/>
        </w:rPr>
        <w:t>12. Johansson et al. NI-RADS Category 3 on Surveillance CT. Laryngoscope 2022. doi:10.1002/lary.30025</w:t>
      </w:r>
    </w:p>
    <w:p>
      <w:r>
        <w:rPr>
          <w:b w:val="0"/>
          <w:i w:val="0"/>
          <w:sz w:val="17"/>
        </w:rPr>
        <w:t>13. Qian et al. Outcomes and Predictive Value of Post-adjuvant Therapy PET/CT for Locally Advanced OSCC. Laryngoscope 2020. doi:10.1002/lary.28509</w:t>
      </w:r>
    </w:p>
    <w:p>
      <w:r>
        <w:rPr>
          <w:b w:val="0"/>
          <w:i w:val="0"/>
          <w:sz w:val="17"/>
        </w:rPr>
        <w:t>14. Dagher R, et al. Diagnostic Performance of Ultrasound in Neck Node NI-RADS Category 2. AJNR 2025. doi:10.3174/ajnr.A8717. PMC12453457</w:t>
      </w:r>
    </w:p>
    <w:p>
      <w:r>
        <w:rPr>
          <w:b w:val="0"/>
          <w:i w:val="0"/>
          <w:sz w:val="17"/>
        </w:rPr>
        <w:t>15. Vertulli et al. The Role of NI-RADS in the Management of Head and Neck Cancers. Bioengineering 2025. doi:10.3390/bioengineering12040398. PMC12024659</w:t>
      </w:r>
    </w:p>
    <w:p>
      <w:r>
        <w:rPr>
          <w:b w:val="0"/>
          <w:i w:val="0"/>
          <w:sz w:val="17"/>
        </w:rPr>
        <w:t>16. Inter-rater reliability of MRI NI-RADS in the follow-up of OPSCC. Radiol Med 2026. doi:10.1007/s11547-026-02206-z. PMC13369041</w:t>
      </w:r>
    </w:p>
    <w:p>
      <w:r>
        <w:rPr>
          <w:b w:val="0"/>
          <w:i w:val="0"/>
          <w:sz w:val="17"/>
        </w:rPr>
        <w:t>17. Diagnostic performance of the NI-RADS system for detecting recurrence in HNSCC: a monocentric pilot study. J Cancer Res Clin Oncol 2026. doi:10.1007/s00432-026-06493-x. PMC13454081</w:t>
      </w:r>
    </w:p>
    <w:p>
      <w:r>
        <w:rPr>
          <w:b w:val="0"/>
          <w:i w:val="0"/>
          <w:sz w:val="17"/>
        </w:rPr>
        <w:t>18. Rath TJ, Wangaryattawanich P. Simplified Surveillance Interpretation in Head and Neck Cancer Using NI-RADS MRI Version 2025. AJR 2026. doi:10.2214/AJR.25.34040 (abstract 미제공 — 본문 미확인)</w:t>
      </w:r>
    </w:p>
    <w:p>
      <w:r>
        <w:rPr>
          <w:b w:val="0"/>
          <w:i w:val="0"/>
          <w:sz w:val="17"/>
        </w:rPr>
        <w:t>19. ACR NI-RADS 공식 페이지: https://www.acr.org/Clinical-Resources/Clinical-Tools-and-Reference/Reporting-and-Data-Systems/NI-RADS (작성 환경에서 접속 차단 — 공식 chart·template 직접 확인 권장)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