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64"/>
          <w:szCs w:val="64"/>
        </w:rPr>
        <w:t xml:space="preserve">Boston Criteria v2.0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2E75B6"/>
          <w:sz w:val="30"/>
          <w:szCs w:val="30"/>
        </w:rPr>
        <w:t xml:space="preserve">for Cerebral Amyloid Angiopathy (CAA)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뇌아밀로이드혈관병증 진단기준 v2.0 — 심층 학습 노트</w:t>
      </w:r>
    </w:p>
    <w:p>
      <w:pPr>
        <w:jc w:val="center"/>
      </w:pPr>
      <w:r>
        <w:rPr>
          <w:rFonts w:ascii="Malgun Gothic" w:cs="Malgun Gothic" w:eastAsia="Malgun Gothic" w:hAnsi="Malgun Gothic"/>
          <w:sz w:val="20"/>
          <w:szCs w:val="20"/>
        </w:rPr>
        <w:t xml:space="preserve">Charidimou A, Boulouis G, Frosch MP, … Werring DJ, Greenberg SM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The Boston criteria version 2.0 for cerebral amyloid angiopathy: a multicentre, retrospective, MRI-neuropathology diagnostic accuracy study</w:t>
      </w:r>
    </w:p>
    <w:p>
      <w:pPr>
        <w:spacing w:after="800"/>
        <w:jc w:val="center"/>
      </w:pPr>
      <w:r>
        <w:rPr>
          <w:rFonts w:ascii="Malgun Gothic" w:cs="Malgun Gothic" w:eastAsia="Malgun Gothic" w:hAnsi="Malgun Gothic"/>
          <w:sz w:val="20"/>
          <w:szCs w:val="20"/>
        </w:rPr>
        <w:t xml:space="preserve">Lancet Neurol 2022;21(8):714–25 · doi:10.1016/S1474-4422(22)00208-3 · PMID 35841910 · PMC9389452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</w:rPr>
              <w:t xml:space="preserve">이 노트의 출처와 한계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주 출처: 위 원저의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PubMed 초록 + PMC 저자원고 전문(PMC9389452)</w:t>
            </w:r>
            <w:r>
              <w:rPr>
                <w:rFonts w:ascii="Malgun Gothic" w:cs="Malgun Gothic" w:eastAsia="Malgun Gothic" w:hAnsi="Malgun Gothic"/>
              </w:rPr>
              <w:t xml:space="preserve">. 각 절 끝에 근거를 표기함.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PMC 텍스트에는 원문의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Panel(진단기준 표)·Figure·Table 자체가 포함되어 있지 않음</w:t>
            </w:r>
            <w:r>
              <w:rPr>
                <w:rFonts w:ascii="Malgun Gothic" w:cs="Malgun Gothic" w:eastAsia="Malgun Gothic" w:hAnsi="Malgun Gothic"/>
              </w:rPr>
              <w:t xml:space="preserve"> → Panel의 세부 문구(특히 각주)는 본문 기술과 저자의 알려진 기준을 바탕으로 재구성했으며, 해당 부분은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[Panel 원문 대조 권장]</w:t>
            </w:r>
            <w:r>
              <w:rPr>
                <w:rFonts w:ascii="Malgun Gothic" w:cs="Malgun Gothic" w:eastAsia="Malgun Gothic" w:hAnsi="Malgun Gothic"/>
              </w:rPr>
              <w:t xml:space="preserve"> 으로 표시함.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다른 문헌에서 온 내용은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[보충]</w:t>
            </w:r>
            <w:r>
              <w:rPr>
                <w:rFonts w:ascii="Malgun Gothic" w:cs="Malgun Gothic" w:eastAsia="Malgun Gothic" w:hAnsi="Malgun Gothic"/>
              </w:rPr>
              <w:t xml:space="preserve"> 으로 구분하고 출처를 달았음 (STRIVE-2, modified Boston criteria 등).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원저는 거의 백인·유럽계 대상으로 도출되어 비백인 집단 검증이 한계로 명시됨 — 국내 적용 시 유의.</w:t>
            </w:r>
          </w:p>
        </w:tc>
      </w:tr>
    </w:tbl>
    <w:p/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1. 한눈에 보는 핵심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</w:rPr>
              <w:t xml:space="preserve">Take-home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CAA = 피질·연수막 혈관벽의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아밀로이드-β 침착</w:t>
            </w:r>
            <w:r>
              <w:rPr>
                <w:rFonts w:ascii="Malgun Gothic" w:cs="Malgun Gothic" w:eastAsia="Malgun Gothic" w:hAnsi="Malgun Gothic"/>
              </w:rPr>
              <w:t xml:space="preserve">을 특징으로 하는 연령 관련 소혈관질환;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lobar ICH의 주원인</w:t>
            </w:r>
            <w:r>
              <w:rPr>
                <w:rFonts w:ascii="Malgun Gothic" w:cs="Malgun Gothic" w:eastAsia="Malgun Gothic" w:hAnsi="Malgun Gothic"/>
              </w:rPr>
              <w:t xml:space="preserve">, 연령 관련 인지저하의 독립 기여인자.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Boston 기준 변천: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v1.0 (1995)</w:t>
            </w:r>
            <w:r>
              <w:rPr>
                <w:rFonts w:ascii="Malgun Gothic" w:cs="Malgun Gothic" w:eastAsia="Malgun Gothic" w:hAnsi="Malgun Gothic"/>
              </w:rPr>
              <w:t xml:space="preserve"> 엽성 출혈 병변(ICH, CMB) ≥2개 →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v1.5 (modified, 2010)</w:t>
            </w:r>
            <w:r>
              <w:rPr>
                <w:rFonts w:ascii="Malgun Gothic" w:cs="Malgun Gothic" w:eastAsia="Malgun Gothic" w:hAnsi="Malgun Gothic"/>
              </w:rPr>
              <w:t xml:space="preserve"> cSS를 출혈 병변 1개로 추가 →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v2.0 (2022)</w:t>
            </w:r>
            <w:r>
              <w:rPr>
                <w:rFonts w:ascii="Malgun Gothic" w:cs="Malgun Gothic" w:eastAsia="Malgun Gothic" w:hAnsi="Malgun Gothic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v2.0의 두 가지 핵심 변화: ①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다발성(multifocal) cSS/cSAH 단독으로 probable CAA</w:t>
            </w:r>
            <w:r>
              <w:rPr>
                <w:rFonts w:ascii="Malgun Gothic" w:cs="Malgun Gothic" w:eastAsia="Malgun Gothic" w:hAnsi="Malgun Gothic"/>
              </w:rPr>
              <w:t xml:space="preserve"> 가능 (≥2개 병변으로 계산) ②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백질 marker</w:t>
            </w:r>
            <w:r>
              <w:rPr>
                <w:rFonts w:ascii="Malgun Gothic" w:cs="Malgun Gothic" w:eastAsia="Malgun Gothic" w:hAnsi="Malgun Gothic"/>
              </w:rPr>
              <w:t xml:space="preserve">(severe CSO-PVS, WMH-multispot) 도입 →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엽성 출혈 병변 1개 + 백질 marker 1개 = probable CAA</w:t>
            </w:r>
            <w:r>
              <w:rPr>
                <w:rFonts w:ascii="Malgun Gothic" w:cs="Malgun Gothic" w:eastAsia="Malgun Gothic" w:hAnsi="Malgun Gothic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Probable CAA (v2.0)</w:t>
            </w:r>
            <w:r>
              <w:rPr>
                <w:rFonts w:ascii="Malgun Gothic" w:cs="Malgun Gothic" w:eastAsia="Malgun Gothic" w:hAnsi="Malgun Gothic"/>
              </w:rPr>
              <w:t xml:space="preserve">: ≥50세 + 적합한 임상양상(자발성 ICH, TFNE, 인지장애/치매) + [엽성 출혈 병변 ≥2개] 또는 [엽성 출혈 병변 1개 + 백질 marker ≥1개] + 심부 출혈 병변 없음 + 다른 원인 없음.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Possible CAA (v2.0)</w:t>
            </w:r>
            <w:r>
              <w:rPr>
                <w:rFonts w:ascii="Malgun Gothic" w:cs="Malgun Gothic" w:eastAsia="Malgun Gothic" w:hAnsi="Malgun Gothic"/>
              </w:rPr>
              <w:t xml:space="preserve">: 엽성 출혈 병변 1개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또는 백질 marker 1개</w:t>
            </w:r>
            <w:r>
              <w:rPr>
                <w:rFonts w:ascii="Malgun Gothic" w:cs="Malgun Gothic" w:eastAsia="Malgun Gothic" w:hAnsi="Malgun Gothic"/>
              </w:rPr>
              <w:t xml:space="preserve"> (출혈이 없어도 가능).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Severe CSO-PVS</w:t>
            </w:r>
            <w:r>
              <w:rPr>
                <w:rFonts w:ascii="Malgun Gothic" w:cs="Malgun Gothic" w:eastAsia="Malgun Gothic" w:hAnsi="Malgun Gothic"/>
              </w:rPr>
              <w:t xml:space="preserve"> = 한쪽 반구 centrum semiovale에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&gt;20개</w:t>
            </w:r>
            <w:r>
              <w:rPr>
                <w:rFonts w:ascii="Malgun Gothic" w:cs="Malgun Gothic" w:eastAsia="Malgun Gothic" w:hAnsi="Malgun Gothic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WMH-multispot</w:t>
            </w:r>
            <w:r>
              <w:rPr>
                <w:rFonts w:ascii="Malgun Gothic" w:cs="Malgun Gothic" w:eastAsia="Malgun Gothic" w:hAnsi="Malgun Gothic"/>
              </w:rPr>
              <w:t xml:space="preserve"> = 양측 피질하 백질의 작은 원형·난원형 T2/FLAIR 고신호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&gt;10개</w:t>
            </w:r>
            <w:r>
              <w:rPr>
                <w:rFonts w:ascii="Malgun Gothic" w:cs="Malgun Gothic" w:eastAsia="Malgun Gothic" w:hAnsi="Malgun Gothic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성능(부검 기준): v2.0 probable CAA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민감도 74.5%, 특이도 95.0%, AUC 0.848</w:t>
            </w:r>
            <w:r>
              <w:rPr>
                <w:rFonts w:ascii="Malgun Gothic" w:cs="Malgun Gothic" w:eastAsia="Malgun Gothic" w:hAnsi="Malgun Gothic"/>
              </w:rPr>
              <w:t xml:space="preserve"> vs 기존 modified Boston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64.5% / 95.0% / 0.798</w:t>
            </w:r>
            <w:r>
              <w:rPr>
                <w:rFonts w:ascii="Malgun Gothic" w:cs="Malgun Gothic" w:eastAsia="Malgun Gothic" w:hAnsi="Malgun Gothic"/>
              </w:rPr>
              <w:t xml:space="preserve"> (p=0.0005) →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특이도 유지하며 민감도 향상</w:t>
            </w:r>
            <w:r>
              <w:rPr>
                <w:rFonts w:ascii="Malgun Gothic" w:cs="Malgun Gothic" w:eastAsia="Malgun Gothic" w:hAnsi="Malgun Gothic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미해결: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mixed lobar + deep 출혈</w:t>
            </w:r>
            <w:r>
              <w:rPr>
                <w:rFonts w:ascii="Malgun Gothic" w:cs="Malgun Gothic" w:eastAsia="Malgun Gothic" w:hAnsi="Malgun Gothic"/>
              </w:rPr>
              <w:t xml:space="preserve">(36예로 부족 → 별도 보고 예정), 무증상인, 유전성·의인성 CAA, 비백인 집단.</w:t>
            </w:r>
          </w:p>
        </w:tc>
      </w:tr>
    </w:tbl>
    <w:p/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7F7F7F"/>
          <w:sz w:val="17"/>
          <w:szCs w:val="17"/>
        </w:rPr>
        <w:t xml:space="preserve">출처: Charidimou et al. Lancet Neurol 2022;21:714–25 (PubMed abstract; PMC9389452 Introduction, Results, Discussion)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2. 배경 — CAA와 Boston 기준의 역사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2-1. CAA란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연령 관련 </w:t>
      </w:r>
      <w:r>
        <w:rPr>
          <w:rFonts w:ascii="Malgun Gothic" w:cs="Malgun Gothic" w:eastAsia="Malgun Gothic" w:hAnsi="Malgun Gothic"/>
          <w:b/>
          <w:bCs/>
        </w:rPr>
        <w:t xml:space="preserve">소혈관질환(SVD)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Malgun Gothic" w:cs="Malgun Gothic" w:eastAsia="Malgun Gothic" w:hAnsi="Malgun Gothic"/>
          <w:b/>
          <w:bCs/>
        </w:rPr>
        <w:t xml:space="preserve">피질 및 연수막(leptomeningeal) 혈관</w:t>
      </w:r>
      <w:r>
        <w:rPr>
          <w:rFonts w:ascii="Malgun Gothic" w:cs="Malgun Gothic" w:eastAsia="Malgun Gothic" w:hAnsi="Malgun Gothic"/>
        </w:rPr>
        <w:t xml:space="preserve">을 침범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병리: 혈관벽에 </w:t>
      </w:r>
      <w:r>
        <w:rPr>
          <w:rFonts w:ascii="Malgun Gothic" w:cs="Malgun Gothic" w:eastAsia="Malgun Gothic" w:hAnsi="Malgun Gothic"/>
          <w:b/>
          <w:bCs/>
        </w:rPr>
        <w:t xml:space="preserve">amyloid-β의 진행성 침착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임상적 중요성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lobar ICH의 일차 원인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연령 관련 인지장애의 독립적 기여 인자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진단의 reference standard = </w:t>
      </w:r>
      <w:r>
        <w:rPr>
          <w:rFonts w:ascii="Malgun Gothic" w:cs="Malgun Gothic" w:eastAsia="Malgun Gothic" w:hAnsi="Malgun Gothic"/>
          <w:b/>
          <w:bCs/>
        </w:rPr>
        <w:t xml:space="preserve">조직병리</w:t>
      </w:r>
      <w:r>
        <w:rPr>
          <w:rFonts w:ascii="Malgun Gothic" w:cs="Malgun Gothic" w:eastAsia="Malgun Gothic" w:hAnsi="Malgun Gothic"/>
        </w:rPr>
        <w:t xml:space="preserve">(부검 또는 생검) → 생전 비침습 진단을 위해 임상+MRI 기반 Boston 기준 사용</w:t>
      </w:r>
    </w:p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7F7F7F"/>
          <w:sz w:val="17"/>
          <w:szCs w:val="17"/>
        </w:rPr>
        <w:t xml:space="preserve">출처: PMC9389452, Introduction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2-2. Boston 기준의 변천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"/>
        <w:gridCol w:w="912"/>
        <w:gridCol w:w="3907"/>
        <w:gridCol w:w="3256"/>
      </w:tblGrid>
      <w:tr>
        <w:trPr>
          <w:tblHeader/>
        </w:trPr>
        <w:tc>
          <w:tcPr>
            <w:tcW w:type="dxa" w:w="15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버전</w:t>
            </w:r>
          </w:p>
        </w:tc>
        <w:tc>
          <w:tcPr>
            <w:tcW w:type="dxa" w:w="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연도</w:t>
            </w:r>
          </w:p>
        </w:tc>
        <w:tc>
          <w:tcPr>
            <w:tcW w:type="dxa" w:w="3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Probable CAA의 핵심</w:t>
            </w:r>
          </w:p>
        </w:tc>
        <w:tc>
          <w:tcPr>
            <w:tcW w:type="dxa" w:w="3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한계/변화 이유</w:t>
            </w:r>
          </w:p>
        </w:tc>
      </w:tr>
      <w:tr>
        <w:tc>
          <w:tcPr>
            <w:tcW w:type="dxa" w:w="15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v1.0 (original)</w:t>
            </w:r>
          </w:p>
        </w:tc>
        <w:tc>
          <w:tcPr>
            <w:tcW w:type="dxa" w:w="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1995</w:t>
            </w:r>
          </w:p>
        </w:tc>
        <w:tc>
          <w:tcPr>
            <w:tcW w:type="dxa" w:w="3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엽성(lobar)에 국한된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다발성(≥2) 출혈 병변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: ICH, CMB</w:t>
            </w:r>
          </w:p>
        </w:tc>
        <w:tc>
          <w:tcPr>
            <w:tcW w:type="dxa" w:w="3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비-ICH 양상에서 민감도 낮음; 소규모(&lt;100) 주로 단일기관 검증</w:t>
            </w:r>
          </w:p>
        </w:tc>
      </w:tr>
      <w:tr>
        <w:tc>
          <w:tcPr>
            <w:tcW w:type="dxa" w:w="15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v1.5 (modified)</w:t>
            </w:r>
          </w:p>
        </w:tc>
        <w:tc>
          <w:tcPr>
            <w:tcW w:type="dxa" w:w="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2010</w:t>
            </w:r>
          </w:p>
        </w:tc>
        <w:tc>
          <w:tcPr>
            <w:tcW w:type="dxa" w:w="3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v1.0 +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cSS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를 추가 출혈 병변으로 인정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※ cSS는 범위와 무관하게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병변 1개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로 취급</w:t>
            </w:r>
          </w:p>
        </w:tc>
        <w:tc>
          <w:tcPr>
            <w:tcW w:type="dxa" w:w="3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비출혈성 백질 marker 등장 → 민감도 추가 향상 여지</w:t>
            </w:r>
          </w:p>
        </w:tc>
      </w:tr>
      <w:tr>
        <w:tc>
          <w:tcPr>
            <w:tcW w:type="dxa" w:w="15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v2.0</w:t>
            </w:r>
          </w:p>
        </w:tc>
        <w:tc>
          <w:tcPr>
            <w:tcW w:type="dxa" w:w="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2022</w:t>
            </w:r>
          </w:p>
        </w:tc>
        <w:tc>
          <w:tcPr>
            <w:tcW w:type="dxa" w:w="3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다발성 cSS/cSAH 병소를 각각 독립 병변으로 계산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백질 marker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(severe CSO-PVS, WMH-MS) 도입</w:t>
            </w:r>
          </w:p>
        </w:tc>
        <w:tc>
          <w:tcPr>
            <w:tcW w:type="dxa" w:w="3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국제 CAA 학회(ICAAA) 주도 다기관 MRI–병리 검증</w:t>
            </w:r>
          </w:p>
        </w:tc>
      </w:tr>
    </w:tbl>
    <w:p/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7F7F7F"/>
          <w:sz w:val="17"/>
          <w:szCs w:val="17"/>
        </w:rPr>
        <w:t xml:space="preserve">출처: PMC9389452, Introduction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</w:rPr>
              <w:t xml:space="preserve">[보충] 이전 버전 원저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v1.0 검증: Knudsen KA, Rosand J, Karluk D, Greenberg SM. Clinical diagnosis of cerebral amyloid angiopathy: validation of the Boston criteria. Neurology 2001;56:537–39.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v1.5: Linn J, Halpin A, Demaerel P, et al. Prevalence of superficial siderosis in patients with cerebral amyloid angiopathy. Neurology 2010;74:1346–50.</w:t>
            </w:r>
          </w:p>
        </w:tc>
      </w:tr>
    </w:tbl>
    <w:p/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3. Boston Criteria v2.0 — 진단 범주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v2.0은 기존 범주 구조(definite / probable with supporting pathology / probable / possible)를 </w:t>
      </w:r>
      <w:r>
        <w:rPr>
          <w:rFonts w:ascii="Malgun Gothic" w:cs="Malgun Gothic" w:eastAsia="Malgun Gothic" w:hAnsi="Malgun Gothic"/>
          <w:b/>
          <w:bCs/>
        </w:rPr>
        <w:t xml:space="preserve">유지</w:t>
      </w:r>
      <w:r>
        <w:rPr>
          <w:rFonts w:ascii="Malgun Gothic" w:cs="Malgun Gothic" w:eastAsia="Malgun Gothic" w:hAnsi="Malgun Gothic"/>
        </w:rPr>
        <w:t xml:space="preserve">하고, ICH와 비-ICH 양상에 </w:t>
      </w:r>
      <w:r>
        <w:rPr>
          <w:rFonts w:ascii="Malgun Gothic" w:cs="Malgun Gothic" w:eastAsia="Malgun Gothic" w:hAnsi="Malgun Gothic"/>
          <w:b/>
          <w:bCs/>
        </w:rPr>
        <w:t xml:space="preserve">공통 기준</w:t>
      </w:r>
      <w:r>
        <w:rPr>
          <w:rFonts w:ascii="Malgun Gothic" w:cs="Malgun Gothic" w:eastAsia="Malgun Gothic" w:hAnsi="Malgun Gothic"/>
        </w:rPr>
        <w:t xml:space="preserve">을 적용합니다. Definite CAA와 probable CAA with supporting pathology는 </w:t>
      </w:r>
      <w:r>
        <w:rPr>
          <w:rFonts w:ascii="Malgun Gothic" w:cs="Malgun Gothic" w:eastAsia="Malgun Gothic" w:hAnsi="Malgun Gothic"/>
          <w:b/>
          <w:bCs/>
        </w:rPr>
        <w:t xml:space="preserve">변경 없이 유지</w:t>
      </w:r>
      <w:r>
        <w:rPr>
          <w:rFonts w:ascii="Malgun Gothic" w:cs="Malgun Gothic" w:eastAsia="Malgun Gothic" w:hAnsi="Malgun Gothic"/>
        </w:rPr>
        <w:t xml:space="preserve">되었습니다.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5507"/>
        <w:gridCol w:w="2203"/>
      </w:tblGrid>
      <w:tr>
        <w:trPr>
          <w:tblHeader/>
        </w:trP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범주</w:t>
            </w:r>
          </w:p>
        </w:tc>
        <w:tc>
          <w:tcPr>
            <w:tcW w:type="dxa" w:w="5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요구 조건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Definite CAA</w:t>
            </w:r>
          </w:p>
        </w:tc>
        <w:tc>
          <w:tcPr>
            <w:tcW w:type="dxa" w:w="5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전체 부검(full post-mortem) 소견: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• 적합한 임상양상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• 혈관병변을 동반한 중증 CAA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• 다른 진단 병변 없음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v2.0에서 변경 없음</w:t>
            </w:r>
          </w:p>
        </w:tc>
      </w:tr>
      <w:t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Probable CAA with supporting pathology</w:t>
            </w:r>
          </w:p>
        </w:tc>
        <w:tc>
          <w:tcPr>
            <w:tcW w:type="dxa" w:w="5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임상자료 + 병리조직(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혈종 제거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또는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피질 생검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):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• 적합한 임상양상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• 검체 내 어느 정도의 CAA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• 다른 진단 병변 없음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v2.0에서 변경 없음</w:t>
            </w:r>
          </w:p>
        </w:tc>
      </w:tr>
      <w:t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Probable CAA</w:t>
            </w:r>
          </w:p>
        </w:tc>
        <w:tc>
          <w:tcPr>
            <w:tcW w:type="dxa" w:w="5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≥50세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, 임상자료 + MRI: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① 임상양상: 자발성 ICH, TFNE, 또는 인지장애/치매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② 다음 중 하나: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  (a) T2*WI에서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strictly lobar 출혈 병변 ≥2개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(ICH, CMB, cSS/cSAH 병소; 조합 무관)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  (b)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lobar 출혈 병변 1개 + 백질 feature ≥1개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(severe CSO-PVS 또는 WMH-MS)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심부 출혈 병변(ICH, CMB) 없음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④ 출혈 병변의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다른 원인 없음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Rule-in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범주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목표: 특이도 유지하며 민감도↑</w:t>
            </w:r>
          </w:p>
        </w:tc>
      </w:tr>
      <w:t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Possible CAA</w:t>
            </w:r>
          </w:p>
        </w:tc>
        <w:tc>
          <w:tcPr>
            <w:tcW w:type="dxa" w:w="5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≥50세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, 임상자료 + MRI: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① 적합한 임상양상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② 다음 중 하나: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  (a)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strictly lobar 출혈 병변 1개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  (b)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백질 feature 1개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(severe CSO-PVS 또는 WMH-MS)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③ 심부 출혈 병변 없음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④ 다른 원인 없음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Rule-out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범주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목표: 민감도 최대화 + 합리적 특이도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일부 위양성 포함 가능</w:t>
            </w:r>
          </w:p>
        </w:tc>
      </w:tr>
    </w:tbl>
    <w:p/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7F7F7F"/>
          <w:sz w:val="17"/>
          <w:szCs w:val="17"/>
        </w:rPr>
        <w:t xml:space="preserve">출처: PMC9389452, Methods (Statistical analysis), Results; PubMed abstract. [Panel 원문 대조 권장: definite/supporting-pathology 문구]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</w:rPr>
              <w:t xml:space="preserve">[Panel 원문 대조 권장] 적용상의 세부 규칙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소뇌(cerebellar) 출혈 병변</w:t>
            </w:r>
            <w:r>
              <w:rPr>
                <w:rFonts w:ascii="Malgun Gothic" w:cs="Malgun Gothic" w:eastAsia="Malgun Gothic" w:hAnsi="Malgun Gothic"/>
              </w:rPr>
              <w:t xml:space="preserve">은 lobar로도 deep으로도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계산하지 않는 것</w:t>
            </w:r>
            <w:r>
              <w:rPr>
                <w:rFonts w:ascii="Malgun Gothic" w:cs="Malgun Gothic" w:eastAsia="Malgun Gothic" w:hAnsi="Malgun Gothic"/>
              </w:rPr>
              <w:t xml:space="preserve">으로 Panel 각주에 기재된 것으로 알고 있음 — 원문 Panel로 확인 권장.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"다른 원인"으로 원저가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연구 대상에서 제외한</w:t>
            </w:r>
            <w:r>
              <w:rPr>
                <w:rFonts w:ascii="Malgun Gothic" w:cs="Malgun Gothic" w:eastAsia="Malgun Gothic" w:hAnsi="Malgun Gothic"/>
              </w:rPr>
              <w:t xml:space="preserve"> 경우: 선행 두부외상, 허혈성 뇌졸중의 출혈성 변환, 동정맥기형(AVM), 출혈성 종양, CNS 혈관염 (+ 의인성·유전성 CAA). (Methods)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CAA-related inflammation 환자는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염증 활동이 없는 시점의 MRI</w:t>
            </w:r>
            <w:r>
              <w:rPr>
                <w:rFonts w:ascii="Malgun Gothic" w:cs="Malgun Gothic" w:eastAsia="Malgun Gothic" w:hAnsi="Malgun Gothic"/>
              </w:rPr>
              <w:t xml:space="preserve">가 있을 때만 포함. (Methods)</w:t>
            </w:r>
          </w:p>
        </w:tc>
      </w:tr>
    </w:tbl>
    <w:p/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4. MRI Marker 정의 (영상의학 핵심)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4-1. 출혈성(haemorrhagic) marker — 반드시 "strictly lobar"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3"/>
        <w:gridCol w:w="6378"/>
        <w:gridCol w:w="1417"/>
      </w:tblGrid>
      <w:tr>
        <w:trPr>
          <w:tblHeader/>
        </w:trPr>
        <w:tc>
          <w:tcPr>
            <w:tcW w:type="dxa" w:w="18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Marker</w:t>
            </w:r>
          </w:p>
        </w:tc>
        <w:tc>
          <w:tcPr>
            <w:tcW w:type="dxa" w:w="63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정의/판정 요점</w:t>
            </w:r>
          </w:p>
        </w:tc>
        <w:tc>
          <w:tcPr>
            <w:tcW w:type="dxa" w:w="14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</w:tr>
      <w:tr>
        <w:tc>
          <w:tcPr>
            <w:tcW w:type="dxa" w:w="18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Lobar ICH</w:t>
            </w:r>
          </w:p>
        </w:tc>
        <w:tc>
          <w:tcPr>
            <w:tcW w:type="dxa" w:w="63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엽성(피질-피질하) 위치의 뇌내출혈</w:t>
            </w:r>
          </w:p>
        </w:tc>
        <w:tc>
          <w:tcPr>
            <w:tcW w:type="dxa" w:w="14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Methods</w:t>
            </w:r>
          </w:p>
        </w:tc>
      </w:tr>
      <w:tr>
        <w:tc>
          <w:tcPr>
            <w:tcW w:type="dxa" w:w="18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Lobar CMB</w:t>
            </w:r>
          </w:p>
        </w:tc>
        <w:tc>
          <w:tcPr>
            <w:tcW w:type="dxa" w:w="63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T2*-GRE/SWI의 엽성 미세출혈 (STRIVE 기준 적용)</w:t>
            </w:r>
          </w:p>
        </w:tc>
        <w:tc>
          <w:tcPr>
            <w:tcW w:type="dxa" w:w="14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Methods</w:t>
            </w:r>
          </w:p>
        </w:tc>
      </w:tr>
      <w:tr>
        <w:tc>
          <w:tcPr>
            <w:tcW w:type="dxa" w:w="18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cSS</w:t>
            </w:r>
          </w:p>
        </w:tc>
        <w:tc>
          <w:tcPr>
            <w:tcW w:type="dxa" w:w="63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피질 고랑 내 혈액산물(만성 표재성 피질출혈)</w:t>
            </w:r>
          </w:p>
        </w:tc>
        <w:tc>
          <w:tcPr>
            <w:tcW w:type="dxa" w:w="14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Introduction</w:t>
            </w:r>
          </w:p>
        </w:tc>
      </w:tr>
      <w:tr>
        <w:tc>
          <w:tcPr>
            <w:tcW w:type="dxa" w:w="18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cSAH</w:t>
            </w:r>
          </w:p>
        </w:tc>
        <w:tc>
          <w:tcPr>
            <w:tcW w:type="dxa" w:w="63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Convexity SAH — cSS의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급성형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; cSS와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동등한 marker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로 평가</w:t>
            </w:r>
          </w:p>
        </w:tc>
        <w:tc>
          <w:tcPr>
            <w:tcW w:type="dxa" w:w="14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Discussion</w:t>
            </w:r>
          </w:p>
        </w:tc>
      </w:tr>
    </w:tbl>
    <w:p/>
    <w:p>
      <w:pPr>
        <w:pStyle w:val="Heading3"/>
      </w:pPr>
      <w:r>
        <w:rPr>
          <w:rFonts w:ascii="Malgun Gothic" w:cs="Malgun Gothic" w:eastAsia="Malgun Gothic" w:hAnsi="Malgun Gothic"/>
        </w:rPr>
        <w:t xml:space="preserve">v2.0의 핵심: cSS "multifocality" 판정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Single focus cSS</w:t>
      </w:r>
      <w:r>
        <w:rPr>
          <w:rFonts w:ascii="Malgun Gothic" w:cs="Malgun Gothic" w:eastAsia="Malgun Gothic" w:hAnsi="Malgun Gothic"/>
        </w:rPr>
        <w:t xml:space="preserve">: 하나의 병소 — </w:t>
      </w:r>
      <w:r>
        <w:rPr>
          <w:rFonts w:ascii="Malgun Gothic" w:cs="Malgun Gothic" w:eastAsia="Malgun Gothic" w:hAnsi="Malgun Gothic"/>
          <w:b/>
          <w:bCs/>
        </w:rPr>
        <w:t xml:space="preserve">인접한 두 번째 이랑(gyrus)까지 연장되어도 1개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Multifocal / extensive cSS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비침범 영역으로 분리된</w:t>
      </w:r>
      <w:r>
        <w:rPr>
          <w:rFonts w:ascii="Malgun Gothic" w:cs="Malgun Gothic" w:eastAsia="Malgun Gothic" w:hAnsi="Malgun Gothic"/>
        </w:rPr>
        <w:t xml:space="preserve"> 여러 이랑을 침범, 또는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인접한 3개 이상의 이랑</w:t>
      </w:r>
      <w:r>
        <w:rPr>
          <w:rFonts w:ascii="Malgun Gothic" w:cs="Malgun Gothic" w:eastAsia="Malgun Gothic" w:hAnsi="Malgun Gothic"/>
        </w:rPr>
        <w:t xml:space="preserve">을 침범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→ </w:t>
      </w:r>
      <w:r>
        <w:rPr>
          <w:rFonts w:ascii="Malgun Gothic" w:cs="Malgun Gothic" w:eastAsia="Malgun Gothic" w:hAnsi="Malgun Gothic"/>
          <w:b/>
          <w:bCs/>
        </w:rPr>
        <w:t xml:space="preserve">≥2개 출혈 병변으로 계산</w:t>
      </w:r>
      <w:r>
        <w:rPr>
          <w:rFonts w:ascii="Malgun Gothic" w:cs="Malgun Gothic" w:eastAsia="Malgun Gothic" w:hAnsi="Malgun Gothic"/>
        </w:rPr>
        <w:t xml:space="preserve"> → </w:t>
      </w:r>
      <w:r>
        <w:rPr>
          <w:rFonts w:ascii="Malgun Gothic" w:cs="Malgun Gothic" w:eastAsia="Malgun Gothic" w:hAnsi="Malgun Gothic"/>
          <w:b/>
          <w:bCs/>
        </w:rPr>
        <w:t xml:space="preserve">단독으로 probable CAA 충족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인접한 lobar ICH에서 이어진 cSS 병소는 제외</w:t>
      </w:r>
      <w:r>
        <w:rPr>
          <w:rFonts w:ascii="Malgun Gothic" w:cs="Malgun Gothic" w:eastAsia="Malgun Gothic" w:hAnsi="Malgun Gothic"/>
        </w:rPr>
        <w:t xml:space="preserve"> (ICH의 연장으로 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급성 </w:t>
      </w:r>
      <w:r>
        <w:rPr>
          <w:rFonts w:ascii="Malgun Gothic" w:cs="Malgun Gothic" w:eastAsia="Malgun Gothic" w:hAnsi="Malgun Gothic"/>
          <w:b/>
          <w:bCs/>
        </w:rPr>
        <w:t xml:space="preserve">cSAH가 cSS와 연결되거나 근접</w:t>
      </w:r>
      <w:r>
        <w:rPr>
          <w:rFonts w:ascii="Malgun Gothic" w:cs="Malgun Gothic" w:eastAsia="Malgun Gothic" w:hAnsi="Malgun Gothic"/>
        </w:rPr>
        <w:t xml:space="preserve">해 있으면 → </w:t>
      </w:r>
      <w:r>
        <w:rPr>
          <w:rFonts w:ascii="Malgun Gothic" w:cs="Malgun Gothic" w:eastAsia="Malgun Gothic" w:hAnsi="Malgun Gothic"/>
          <w:b/>
          <w:bCs/>
        </w:rPr>
        <w:t xml:space="preserve">2개의 출혈 marker로 계산</w:t>
      </w:r>
      <w:r>
        <w:rPr>
          <w:rFonts w:ascii="Malgun Gothic" w:cs="Malgun Gothic" w:eastAsia="Malgun Gothic" w:hAnsi="Malgun Gothic"/>
        </w:rPr>
        <w:t xml:space="preserve"> (cSAH의 급성성이 "시간적 파종(dissemination in time)"의 증거)</w:t>
      </w:r>
    </w:p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7F7F7F"/>
          <w:sz w:val="17"/>
          <w:szCs w:val="17"/>
        </w:rPr>
        <w:t xml:space="preserve">출처: PMC9389452, Methods (index tests) &amp; Discussion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4-2. 비출혈성 백질(white matter) marker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6"/>
        <w:gridCol w:w="3529"/>
        <w:gridCol w:w="4073"/>
      </w:tblGrid>
      <w:tr>
        <w:trPr>
          <w:tblHeader/>
        </w:trPr>
        <w:tc>
          <w:tcPr>
            <w:tcW w:type="dxa" w:w="2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Marker</w:t>
            </w:r>
          </w:p>
        </w:tc>
        <w:tc>
          <w:tcPr>
            <w:tcW w:type="dxa" w:w="3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정의</w:t>
            </w:r>
          </w:p>
        </w:tc>
        <w:tc>
          <w:tcPr>
            <w:tcW w:type="dxa" w:w="40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의미/기전 (원저 기술)</w:t>
            </w:r>
          </w:p>
        </w:tc>
      </w:tr>
      <w:tr>
        <w:tc>
          <w:tcPr>
            <w:tcW w:type="dxa" w:w="2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Severe CSO-PVS</w:t>
            </w:r>
          </w:p>
        </w:tc>
        <w:tc>
          <w:tcPr>
            <w:tcW w:type="dxa" w:w="3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centrum semiovale에서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한쪽 반구에 &gt;20개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의 MRI-visible PVS</w:t>
            </w:r>
          </w:p>
        </w:tc>
        <w:tc>
          <w:tcPr>
            <w:tcW w:type="dxa" w:w="40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Aβ의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혈관주위 배출(perivascular trafficking)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장애, 상부 피질혈관 CAA 중증도와 관련</w:t>
            </w:r>
          </w:p>
        </w:tc>
      </w:tr>
      <w:tr>
        <w:tc>
          <w:tcPr>
            <w:tcW w:type="dxa" w:w="2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WMH-multispot (WMH-MS)</w:t>
            </w:r>
          </w:p>
        </w:tc>
        <w:tc>
          <w:tcPr>
            <w:tcW w:type="dxa" w:w="3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양측 피질하 백질에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&gt;10개의 작은 원형/난원형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T2/FLAIR 고신호</w:t>
            </w:r>
          </w:p>
        </w:tc>
        <w:tc>
          <w:tcPr>
            <w:tcW w:type="dxa" w:w="40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기전 미상 — 피질 관통혈관의 CAA 침범 반영 가능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CSO-PVS보다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덜 연구되고 덜 견고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→ 독립적 재현 필요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평가자 간 일치도(kappa, 무작위 100예): multifocal cSS </w:t>
      </w:r>
      <w:r>
        <w:rPr>
          <w:rFonts w:ascii="Malgun Gothic" w:cs="Malgun Gothic" w:eastAsia="Malgun Gothic" w:hAnsi="Malgun Gothic"/>
          <w:b/>
          <w:bCs/>
        </w:rPr>
        <w:t xml:space="preserve">0.94</w:t>
      </w:r>
      <w:r>
        <w:rPr>
          <w:rFonts w:ascii="Malgun Gothic" w:cs="Malgun Gothic" w:eastAsia="Malgun Gothic" w:hAnsi="Malgun Gothic"/>
        </w:rPr>
        <w:t xml:space="preserve">, severe CSO-PVS </w:t>
      </w:r>
      <w:r>
        <w:rPr>
          <w:rFonts w:ascii="Malgun Gothic" w:cs="Malgun Gothic" w:eastAsia="Malgun Gothic" w:hAnsi="Malgun Gothic"/>
          <w:b/>
          <w:bCs/>
        </w:rPr>
        <w:t xml:space="preserve">0.86</w:t>
      </w:r>
      <w:r>
        <w:rPr>
          <w:rFonts w:ascii="Malgun Gothic" w:cs="Malgun Gothic" w:eastAsia="Malgun Gothic" w:hAnsi="Malgun Gothic"/>
        </w:rPr>
        <w:t xml:space="preserve">, WMH-MS </w:t>
      </w:r>
      <w:r>
        <w:rPr>
          <w:rFonts w:ascii="Malgun Gothic" w:cs="Malgun Gothic" w:eastAsia="Malgun Gothic" w:hAnsi="Malgun Gothic"/>
          <w:b/>
          <w:bCs/>
        </w:rPr>
        <w:t xml:space="preserve">0.89</w:t>
      </w:r>
      <w:r>
        <w:rPr>
          <w:rFonts w:ascii="Malgun Gothic" w:cs="Malgun Gothic" w:eastAsia="Malgun Gothic" w:hAnsi="Malgun Gothic"/>
        </w:rPr>
        <w:t xml:space="preserve"> → 모두 &gt;0.8로 우수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Periventricular·deep WMH의 중증도는 CAA와 무관</w:t>
      </w:r>
      <w:r>
        <w:rPr>
          <w:rFonts w:ascii="Malgun Gothic" w:cs="Malgun Gothic" w:eastAsia="Malgun Gothic" w:hAnsi="Malgun Gothic"/>
        </w:rPr>
        <w:t xml:space="preserve"> → 기준에서 제외 (즉, Fazekas 점수 자체는 CAA 판정에 쓰이지 않음)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비출혈성 marker 중 </w:t>
      </w:r>
      <w:r>
        <w:rPr>
          <w:rFonts w:ascii="Malgun Gothic" w:cs="Malgun Gothic" w:eastAsia="Malgun Gothic" w:hAnsi="Malgun Gothic"/>
          <w:b/>
          <w:bCs/>
        </w:rPr>
        <w:t xml:space="preserve">CSO-PVS가 성능 향상 기여가 가장 큼</w:t>
      </w:r>
      <w:r>
        <w:rPr>
          <w:rFonts w:ascii="Malgun Gothic" w:cs="Malgun Gothic" w:eastAsia="Malgun Gothic" w:hAnsi="Malgun Gothic"/>
        </w:rPr>
        <w:t xml:space="preserve">, WMH-MS는 추가 기여가 marginal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출혈이 </w:t>
      </w:r>
      <w:r>
        <w:rPr>
          <w:rFonts w:ascii="Malgun Gothic" w:cs="Malgun Gothic" w:eastAsia="Malgun Gothic" w:hAnsi="Malgun Gothic"/>
          <w:b/>
          <w:bCs/>
        </w:rPr>
        <w:t xml:space="preserve">전혀 없는</w:t>
      </w:r>
      <w:r>
        <w:rPr>
          <w:rFonts w:ascii="Malgun Gothic" w:cs="Malgun Gothic" w:eastAsia="Malgun Gothic" w:hAnsi="Malgun Gothic"/>
        </w:rPr>
        <w:t xml:space="preserve"> 사람에서도 백질 marker가 CAA를 일부 포착: CAA 양성 21명 중 15명 vs CAA 음성 33명 중 10명 (특이도 69.7%) → possible CAA에 포함된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출혈 이전 단계에서 진단 가능 → </w:t>
      </w:r>
      <w:r>
        <w:rPr>
          <w:rFonts w:ascii="Malgun Gothic" w:cs="Malgun Gothic" w:eastAsia="Malgun Gothic" w:hAnsi="Malgun Gothic"/>
          <w:b/>
          <w:bCs/>
        </w:rPr>
        <w:t xml:space="preserve">조기 중재</w:t>
      </w:r>
      <w:r>
        <w:rPr>
          <w:rFonts w:ascii="Malgun Gothic" w:cs="Malgun Gothic" w:eastAsia="Malgun Gothic" w:hAnsi="Malgun Gothic"/>
        </w:rPr>
        <w:t xml:space="preserve">의 여지</w:t>
      </w:r>
    </w:p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7F7F7F"/>
          <w:sz w:val="17"/>
          <w:szCs w:val="17"/>
        </w:rPr>
        <w:t xml:space="preserve">출처: PMC9389452, Methods, Results, Discussion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4-3. 필요한 MRI sequence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연구 포함 조건: 최소 </w:t>
      </w:r>
      <w:r>
        <w:rPr>
          <w:rFonts w:ascii="Malgun Gothic" w:cs="Malgun Gothic" w:eastAsia="Malgun Gothic" w:hAnsi="Malgun Gothic"/>
          <w:b/>
          <w:bCs/>
        </w:rPr>
        <w:t xml:space="preserve">T2WI, FLAIR, T2*WI axial</w:t>
      </w:r>
      <w:r>
        <w:rPr>
          <w:rFonts w:ascii="Malgun Gothic" w:cs="Malgun Gothic" w:eastAsia="Malgun Gothic" w:hAnsi="Malgun Gothic"/>
        </w:rPr>
        <w:t xml:space="preserve"> (conventional T2*-GRE 또는 더 민감한 SWI; 1.5T 또는 3.0T)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T2*WI</w:t>
      </w:r>
      <w:r>
        <w:rPr>
          <w:rFonts w:ascii="Malgun Gothic" w:cs="Malgun Gothic" w:eastAsia="Malgun Gothic" w:hAnsi="Malgun Gothic"/>
        </w:rPr>
        <w:t xml:space="preserve"> → 출혈 병변 검출 / </w:t>
      </w:r>
      <w:r>
        <w:rPr>
          <w:rFonts w:ascii="Malgun Gothic" w:cs="Malgun Gothic" w:eastAsia="Malgun Gothic" w:hAnsi="Malgun Gothic"/>
          <w:b/>
          <w:bCs/>
        </w:rPr>
        <w:t xml:space="preserve">T2WI</w:t>
      </w:r>
      <w:r>
        <w:rPr>
          <w:rFonts w:ascii="Malgun Gothic" w:cs="Malgun Gothic" w:eastAsia="Malgun Gothic" w:hAnsi="Malgun Gothic"/>
        </w:rPr>
        <w:t xml:space="preserve"> → PVS 검출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SWI 사용 시 진단 정확도가 가장 높았음</w:t>
      </w:r>
      <w:r>
        <w:rPr>
          <w:rFonts w:ascii="Malgun Gothic" w:cs="Malgun Gothic" w:eastAsia="Malgun Gothic" w:hAnsi="Malgun Gothic"/>
        </w:rPr>
        <w:t xml:space="preserve"> (subgroup 분석)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MRI를 쓸 수 없는 급성 ICH 상황 → CT 기반 </w:t>
      </w:r>
      <w:r>
        <w:rPr>
          <w:rFonts w:ascii="Malgun Gothic" w:cs="Malgun Gothic" w:eastAsia="Malgun Gothic" w:hAnsi="Malgun Gothic"/>
          <w:b/>
          <w:bCs/>
        </w:rPr>
        <w:t xml:space="preserve">Edinburgh criteria</w:t>
      </w:r>
      <w:r>
        <w:rPr>
          <w:rFonts w:ascii="Malgun Gothic" w:cs="Malgun Gothic" w:eastAsia="Malgun Gothic" w:hAnsi="Malgun Gothic"/>
        </w:rPr>
        <w:t xml:space="preserve"> 의 중요성</w:t>
      </w:r>
    </w:p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7F7F7F"/>
          <w:sz w:val="17"/>
          <w:szCs w:val="17"/>
        </w:rPr>
        <w:t xml:space="preserve">출처: PMC9389452, Methods, Results, Discussion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5. 연구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74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디자인</w:t>
            </w:r>
          </w:p>
        </w:tc>
        <w:tc>
          <w:tcPr>
            <w:tcW w:type="dxa" w:w="74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다기관, 병원 기반,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후향적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MRI–신경병리 진단정확도 연구 (STARD 2015 준수)</w:t>
            </w:r>
          </w:p>
        </w:tc>
      </w:tr>
      <w:tr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주관</w:t>
            </w:r>
          </w:p>
        </w:tc>
        <w:tc>
          <w:tcPr>
            <w:tcW w:type="dxa" w:w="74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International CAA Association (ICAAA); MGH(Boston)·UCL(London) 프로토콜 개발 (2016.8), 최종 확정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2017.1.15</w:t>
            </w:r>
          </w:p>
        </w:tc>
      </w:tr>
      <w:tr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참여기관</w:t>
            </w:r>
          </w:p>
        </w:tc>
        <w:tc>
          <w:tcPr>
            <w:tcW w:type="dxa" w:w="74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북미·유럽 학술의료기관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10곳</w:t>
            </w:r>
          </w:p>
        </w:tc>
      </w:tr>
      <w:tr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대상</w:t>
            </w:r>
          </w:p>
        </w:tc>
        <w:tc>
          <w:tcPr>
            <w:tcW w:type="dxa" w:w="74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≥50세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, CAA 관련 임상양상(자발성 ICH, 인지장애/치매, TFNE) + 적절한 MRI + CAA 판정용 뇌조직(부검·생검·혈종제거;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평가 가능한 피질/연수막 혈관 ≥10개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제외</w:t>
            </w:r>
          </w:p>
        </w:tc>
        <w:tc>
          <w:tcPr>
            <w:tcW w:type="dxa" w:w="74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선행 두부외상, 허혈성 뇌졸중의 출혈성 변환, AVM, 출혈성 종양, CNS 혈관염, 의인성·유전성 CAA</w:t>
            </w:r>
          </w:p>
        </w:tc>
      </w:tr>
      <w:tr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영상 판독</w:t>
            </w:r>
          </w:p>
        </w:tc>
        <w:tc>
          <w:tcPr>
            <w:tcW w:type="dxa" w:w="74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MGH에서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중앙 판독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, 임상·병리 정보 blind, STRIVE 및 검증된 척도 사용</w:t>
            </w:r>
          </w:p>
        </w:tc>
      </w:tr>
      <w:tr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Reference standard</w:t>
            </w:r>
          </w:p>
        </w:tc>
        <w:tc>
          <w:tcPr>
            <w:tcW w:type="dxa" w:w="74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각 기관 신경병리의사,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modified Vonsattel grading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• CAA 확진: 부검 Vonsattel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≥2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/ 생검·혈종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≥1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• 대조군: 부검 Vonsattel ≤1 / 생검·혈종 = 0</w:t>
            </w:r>
          </w:p>
        </w:tc>
      </w:tr>
      <w:tr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코호트 분할 (사전 지정)</w:t>
            </w:r>
          </w:p>
        </w:tc>
        <w:tc>
          <w:tcPr>
            <w:tcW w:type="dxa" w:w="74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• Derivation: MGH 1994–2012,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n=159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• Temporal validation: MGH 2012–2018,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n=59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• Geographical validation: 비-MGH 2004–2018,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n=123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• 합계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n=341</w:t>
            </w:r>
          </w:p>
        </w:tc>
      </w:tr>
      <w:tr>
        <w:tc>
          <w:tcPr>
            <w:tcW w:type="dxa" w:w="22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환자 선정 흐름</w:t>
            </w:r>
          </w:p>
        </w:tc>
        <w:tc>
          <w:tcPr>
            <w:tcW w:type="dxa" w:w="74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MGH 401명 중 218명 포함 (비해당 양상 43, MRI 부족 44, 조직 부족 96 제외); 타기관 160명 중 123명 포함 (37 제외)</w:t>
            </w:r>
          </w:p>
        </w:tc>
      </w:tr>
    </w:tbl>
    <w:p/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7F7F7F"/>
          <w:sz w:val="17"/>
          <w:szCs w:val="17"/>
        </w:rPr>
        <w:t xml:space="preserve">출처: PMC9389452, Methods &amp; Results; PubMed abstract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6. 결과 — 진단 성능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6-1. Derivation 코호트의 단변량 연관 (CAA vs non-CAA)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Derivation 코호트: 평균 연령 73세, CAA 107명(67%), non-CAA 52명(33%).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3213"/>
        <w:gridCol w:w="1606"/>
      </w:tblGrid>
      <w:tr>
        <w:trPr>
          <w:tblHeader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MRI marker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OR (95% CI)</w:t>
            </w:r>
          </w:p>
        </w:tc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Lobar ICH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4.2 (2–8.7)</w:t>
            </w:r>
          </w:p>
        </w:tc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&lt;0.0001</w:t>
            </w:r>
          </w:p>
        </w:tc>
      </w:tr>
      <w:t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cSS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40 (5–300)</w:t>
            </w:r>
          </w:p>
        </w:tc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&lt;0.0001</w:t>
            </w:r>
          </w:p>
        </w:tc>
      </w:tr>
      <w:t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Lobar CMB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3.4 (1.7–6.6)</w:t>
            </w:r>
          </w:p>
        </w:tc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&lt;0.0001</w:t>
            </w:r>
          </w:p>
        </w:tc>
      </w:tr>
      <w:t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Severe CSO-PVS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6.3 (3–13.5)</w:t>
            </w:r>
          </w:p>
        </w:tc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&lt;0.0001</w:t>
            </w:r>
          </w:p>
        </w:tc>
      </w:tr>
      <w:t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WMH-MS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3.5 (1.6–7.6)</w:t>
            </w:r>
          </w:p>
        </w:tc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0.002</w:t>
            </w:r>
          </w:p>
        </w:tc>
      </w:tr>
      <w:t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Periventricular / deep WMH 중증도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연관 없음 → 제외</w:t>
            </w:r>
          </w:p>
        </w:tc>
        <w:tc>
          <w:tcPr>
            <w:tcW w:type="dxa" w:w="1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/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7F7F7F"/>
          <w:sz w:val="17"/>
          <w:szCs w:val="17"/>
        </w:rPr>
        <w:t xml:space="preserve">출처: PMC9389452, Results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6-2. Probable CAA (v2.0) 코호트별 성능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9"/>
        <w:gridCol w:w="2203"/>
        <w:gridCol w:w="2203"/>
        <w:gridCol w:w="2203"/>
      </w:tblGrid>
      <w:tr>
        <w:trPr>
          <w:tblHeader/>
        </w:trPr>
        <w:tc>
          <w:tcPr>
            <w:tcW w:type="dxa" w:w="3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코호트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민감도 (95% CI)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특이도 (95% CI)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AUC (95% CI)</w:t>
            </w:r>
          </w:p>
        </w:tc>
      </w:tr>
      <w:tr>
        <w:tc>
          <w:tcPr>
            <w:tcW w:type="dxa" w:w="3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Derivation (n=159)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74.8% (65.4–82.7)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84.6% (71.9–93.1)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0.797 (0.732–0.861)</w:t>
            </w:r>
          </w:p>
        </w:tc>
      </w:tr>
      <w:tr>
        <w:tc>
          <w:tcPr>
            <w:tcW w:type="dxa" w:w="3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Temporal validation (n=59)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92.5% (79.6–98.4)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89.5% (66.9–98.7)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0.910 (0.828–0.992)</w:t>
            </w:r>
          </w:p>
        </w:tc>
      </w:tr>
      <w:tr>
        <w:tc>
          <w:tcPr>
            <w:tcW w:type="dxa" w:w="3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Geographical validation (n=123)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80.2% (70.8–87.6)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81.5% (61.9–93.7)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0.808 (0.724–0.893)</w:t>
            </w:r>
          </w:p>
        </w:tc>
      </w:tr>
      <w:tr>
        <w:tc>
          <w:tcPr>
            <w:tcW w:type="dxa" w:w="3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전체 (n=341)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79.8% (74.2–84.7)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84.7% (76–91.2)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부검 확진 subgroup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74.5% (65.4–82.4)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95.0% (83.1–99.4)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0.848 (0.794–0.901)</w:t>
            </w:r>
          </w:p>
        </w:tc>
      </w:tr>
    </w:tbl>
    <w:p/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7F7F7F"/>
          <w:sz w:val="17"/>
          <w:szCs w:val="17"/>
        </w:rPr>
        <w:t xml:space="preserve">출처: PubMed abstract; PMC9389452, Results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6-3. 기존 modified Boston (v1.5)과의 비교 — 부검 subgroup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012"/>
        <w:gridCol w:w="2410"/>
        <w:gridCol w:w="1806"/>
      </w:tblGrid>
      <w:tr>
        <w:trPr>
          <w:tblHeader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  <w:tc>
          <w:tcPr>
            <w:tcW w:type="dxa" w:w="3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Modified Boston (v1.5)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Boston v2.0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비교</w:t>
            </w:r>
          </w:p>
        </w:tc>
      </w:tr>
      <w:t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민감도</w:t>
            </w:r>
          </w:p>
        </w:tc>
        <w:tc>
          <w:tcPr>
            <w:tcW w:type="dxa" w:w="3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64.5% (54.9–73.4)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74.5%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v2.0 ↑</w:t>
            </w:r>
          </w:p>
        </w:tc>
      </w:tr>
      <w:t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특이도</w:t>
            </w:r>
          </w:p>
        </w:tc>
        <w:tc>
          <w:tcPr>
            <w:tcW w:type="dxa" w:w="3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95.0% (83.1–99.4)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95.0%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동일</w:t>
            </w:r>
          </w:p>
        </w:tc>
      </w:tr>
      <w:t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AUC</w:t>
            </w:r>
          </w:p>
        </w:tc>
        <w:tc>
          <w:tcPr>
            <w:tcW w:type="dxa" w:w="3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0.798 (0.741–0.854)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0.848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p=0.0005</w:t>
            </w:r>
          </w:p>
        </w:tc>
      </w:tr>
      <w:t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ICH 양상 AUC 비교</w:t>
            </w:r>
          </w:p>
        </w:tc>
        <w:tc>
          <w:tcPr>
            <w:tcW w:type="dxa" w:w="3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p=0.0047</w:t>
            </w:r>
          </w:p>
        </w:tc>
      </w:tr>
      <w:t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비-ICH 양상 AUC 비교</w:t>
            </w:r>
          </w:p>
        </w:tc>
        <w:tc>
          <w:tcPr>
            <w:tcW w:type="dxa" w:w="3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p=0.04</w:t>
            </w:r>
          </w:p>
        </w:tc>
      </w:tr>
    </w:tbl>
    <w:p/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7F7F7F"/>
          <w:sz w:val="17"/>
          <w:szCs w:val="17"/>
        </w:rPr>
        <w:t xml:space="preserve">출처: PubMed abstract; PMC9389452, Results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6-4. 임상양상별 (Derivation, probable CAA)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9"/>
        <w:gridCol w:w="2203"/>
        <w:gridCol w:w="2203"/>
        <w:gridCol w:w="2203"/>
      </w:tblGrid>
      <w:tr>
        <w:trPr>
          <w:tblHeader/>
        </w:trPr>
        <w:tc>
          <w:tcPr>
            <w:tcW w:type="dxa" w:w="3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양상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민감도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특이도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AUC</w:t>
            </w:r>
          </w:p>
        </w:tc>
      </w:tr>
      <w:tr>
        <w:tc>
          <w:tcPr>
            <w:tcW w:type="dxa" w:w="3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증상성 ICH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86.7% (75.4–94.1)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70.6% (44–89.1)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0.79 (0.67–0.91)</w:t>
            </w:r>
          </w:p>
        </w:tc>
      </w:tr>
      <w:tr>
        <w:tc>
          <w:tcPr>
            <w:tcW w:type="dxa" w:w="3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비-ICH (인지장애, TFNE)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59.6% (44.3–73.6)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91.4% (76.9–98.2)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0.75 (0.67–0.84)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비-ICH 양상에서 민감도가 낮은 이유: 엽성 출혈 병변은 CAA의 </w:t>
      </w:r>
      <w:r>
        <w:rPr>
          <w:rFonts w:ascii="Malgun Gothic" w:cs="Malgun Gothic" w:eastAsia="Malgun Gothic" w:hAnsi="Malgun Gothic"/>
          <w:b/>
          <w:bCs/>
        </w:rPr>
        <w:t xml:space="preserve">비교적 늦은 표현</w:t>
      </w:r>
      <w:r>
        <w:rPr>
          <w:rFonts w:ascii="Malgun Gothic" w:cs="Malgun Gothic" w:eastAsia="Malgun Gothic" w:hAnsi="Malgun Gothic"/>
        </w:rPr>
        <w:t xml:space="preserve"> → 초기 단계에 덜 민감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부검 subgroup의 probable CAA 특이도: ICH 양상 </w:t>
      </w:r>
      <w:r>
        <w:rPr>
          <w:rFonts w:ascii="Malgun Gothic" w:cs="Malgun Gothic" w:eastAsia="Malgun Gothic" w:hAnsi="Malgun Gothic"/>
          <w:b/>
          <w:bCs/>
        </w:rPr>
        <w:t xml:space="preserve">92.9%</w:t>
      </w:r>
      <w:r>
        <w:rPr>
          <w:rFonts w:ascii="Malgun Gothic" w:cs="Malgun Gothic" w:eastAsia="Malgun Gothic" w:hAnsi="Malgun Gothic"/>
        </w:rPr>
        <w:t xml:space="preserve">, 비-ICH 양상 </w:t>
      </w:r>
      <w:r>
        <w:rPr>
          <w:rFonts w:ascii="Malgun Gothic" w:cs="Malgun Gothic" w:eastAsia="Malgun Gothic" w:hAnsi="Malgun Gothic"/>
          <w:b/>
          <w:bCs/>
        </w:rPr>
        <w:t xml:space="preserve">96.2%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6-5. Possible + probable CAA (rule-out 범주 포함)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tblHeader/>
        </w:trPr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코호트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민감도</w:t>
            </w:r>
          </w:p>
        </w:tc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특이도</w:t>
            </w:r>
          </w:p>
        </w:tc>
      </w:tr>
      <w:tr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Derivation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91.6% (84.6–96.1)</w:t>
            </w:r>
          </w:p>
        </w:tc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57.7% (43.2–71.3)</w:t>
            </w:r>
          </w:p>
        </w:tc>
      </w:tr>
      <w:tr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전체 (n=341)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91.8% (87.6–94.9)</w:t>
            </w:r>
          </w:p>
        </w:tc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62.2% (51.9–71.8)</w:t>
            </w:r>
          </w:p>
        </w:tc>
      </w:tr>
      <w:tr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부검 subgroup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70.0%</w:t>
            </w:r>
          </w:p>
        </w:tc>
      </w:tr>
    </w:tbl>
    <w:p/>
    <w:p>
      <w:pPr>
        <w:spacing w:after="100"/>
      </w:pPr>
      <w:r>
        <w:rPr>
          <w:rFonts w:ascii="Malgun Gothic" w:cs="Malgun Gothic" w:eastAsia="Malgun Gothic" w:hAnsi="Malgun Gothic"/>
        </w:rPr>
        <w:t xml:space="preserve">→ possible 범주는 민감도 ~90%로 </w:t>
      </w:r>
      <w:r>
        <w:rPr>
          <w:rFonts w:ascii="Malgun Gothic" w:cs="Malgun Gothic" w:eastAsia="Malgun Gothic" w:hAnsi="Malgun Gothic"/>
          <w:b/>
          <w:bCs/>
        </w:rPr>
        <w:t xml:space="preserve">대부분의 non-CAA를 배제</w:t>
      </w:r>
      <w:r>
        <w:rPr>
          <w:rFonts w:ascii="Malgun Gothic" w:cs="Malgun Gothic" w:eastAsia="Malgun Gothic" w:hAnsi="Malgun Gothic"/>
        </w:rPr>
        <w:t xml:space="preserve">하는 목표는 충족하나, </w:t>
      </w:r>
      <w:r>
        <w:rPr>
          <w:rFonts w:ascii="Malgun Gothic" w:cs="Malgun Gothic" w:eastAsia="Malgun Gothic" w:hAnsi="Malgun Gothic"/>
          <w:b/>
          <w:bCs/>
        </w:rPr>
        <w:t xml:space="preserve">일부 위양성</w:t>
      </w:r>
      <w:r>
        <w:rPr>
          <w:rFonts w:ascii="Malgun Gothic" w:cs="Malgun Gothic" w:eastAsia="Malgun Gothic" w:hAnsi="Malgun Gothic"/>
        </w:rPr>
        <w:t xml:space="preserve"> 포함.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6-6. Post-hoc 분석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프로토콜 발표 이후 등장한 marker: </w:t>
      </w:r>
      <w:r>
        <w:rPr>
          <w:rFonts w:ascii="Malgun Gothic" w:cs="Malgun Gothic" w:eastAsia="Malgun Gothic" w:hAnsi="Malgun Gothic"/>
          <w:b/>
          <w:bCs/>
        </w:rPr>
        <w:t xml:space="preserve">lobar lacune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superficial cerebellar microbleed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엽성 출혈 1개 + (lobar lacune ≥1 또는 superficial cerebellar CMB ≥1)을 probable에 추가해도 → derivation 코호트에서 </w:t>
      </w:r>
      <w:r>
        <w:rPr>
          <w:rFonts w:ascii="Malgun Gothic" w:cs="Malgun Gothic" w:eastAsia="Malgun Gothic" w:hAnsi="Malgun Gothic"/>
          <w:b/>
          <w:bCs/>
        </w:rPr>
        <w:t xml:space="preserve">재분류된 예 없음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possible 정의에 추가해도 위음성 재분류 없음 → </w:t>
      </w:r>
      <w:r>
        <w:rPr>
          <w:rFonts w:ascii="Malgun Gothic" w:cs="Malgun Gothic" w:eastAsia="Malgun Gothic" w:hAnsi="Malgun Gothic"/>
          <w:b/>
          <w:bCs/>
        </w:rPr>
        <w:t xml:space="preserve">v2.0 기준에는 포함되지 않음</w:t>
      </w:r>
    </w:p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7F7F7F"/>
          <w:sz w:val="17"/>
          <w:szCs w:val="17"/>
        </w:rPr>
        <w:t xml:space="preserve">출처: PMC9389452, Results &amp; Discussion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7. 판독 적용 알고리즘 (실전 정리)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아래는 원저 기준(Section 3–4)을 판독 순서로 재배열한 것입니다.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9"/>
        <w:gridCol w:w="5754"/>
        <w:gridCol w:w="3165"/>
      </w:tblGrid>
      <w:tr>
        <w:trPr>
          <w:tblHeader/>
        </w:trPr>
        <w:tc>
          <w:tcPr>
            <w:tcW w:type="dxa" w:w="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5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확인 사항</w:t>
            </w:r>
          </w:p>
        </w:tc>
        <w:tc>
          <w:tcPr>
            <w:tcW w:type="dxa" w:w="3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판단</w:t>
            </w:r>
          </w:p>
        </w:tc>
      </w:tr>
      <w:tr>
        <w:tc>
          <w:tcPr>
            <w:tcW w:type="dxa" w:w="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나이 ≥50세? 임상양상(자발성 ICH / TFNE / 인지장애·치매)?</w:t>
            </w:r>
          </w:p>
        </w:tc>
        <w:tc>
          <w:tcPr>
            <w:tcW w:type="dxa" w:w="3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아니면 Boston v2.0 적용 대상 아님</w:t>
            </w:r>
          </w:p>
        </w:tc>
      </w:tr>
      <w:tr>
        <w:tc>
          <w:tcPr>
            <w:tcW w:type="dxa" w:w="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T2*/SWI에서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심부 출혈 병변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(심부 ICH, 심부 CMB) 있는가?</w:t>
            </w:r>
          </w:p>
        </w:tc>
        <w:tc>
          <w:tcPr>
            <w:tcW w:type="dxa" w:w="3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있으면 probable/possible CAA 불충족 (mixed pattern은 v2.0에서 미해결)</w:t>
            </w:r>
          </w:p>
        </w:tc>
      </w:tr>
      <w:tr>
        <w:tc>
          <w:tcPr>
            <w:tcW w:type="dxa" w:w="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출혈의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다른 원인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(외상, 출혈성 변환, AVM, 종양, 혈관염 등)?</w:t>
            </w:r>
          </w:p>
        </w:tc>
        <w:tc>
          <w:tcPr>
            <w:tcW w:type="dxa" w:w="3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있으면 불충족</w:t>
            </w:r>
          </w:p>
        </w:tc>
      </w:tr>
      <w:tr>
        <w:tc>
          <w:tcPr>
            <w:tcW w:type="dxa" w:w="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Strictly lobar 출혈 병변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개수: lobar ICH + lobar CMB + cSS/cSAH 병소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• multifocal cSS = ≥2개로 계산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• cSAH + 인접 cSS = 2개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• 인접 ICH에서 이어진 cSS는 제외</w:t>
            </w:r>
          </w:p>
        </w:tc>
        <w:tc>
          <w:tcPr>
            <w:tcW w:type="dxa" w:w="3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≥2개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Probable CAA</w:t>
            </w:r>
          </w:p>
        </w:tc>
      </w:tr>
      <w:tr>
        <w:tc>
          <w:tcPr>
            <w:tcW w:type="dxa" w:w="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엽성 출혈 병변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 경우: 백질 feature (severe CSO-PVS &gt;20/한쪽 반구, WMH-MS &gt;10개) 있는가?</w:t>
            </w:r>
          </w:p>
        </w:tc>
        <w:tc>
          <w:tcPr>
            <w:tcW w:type="dxa" w:w="3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있음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Probable CAA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없음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Possible CAA</w:t>
            </w:r>
          </w:p>
        </w:tc>
      </w:tr>
      <w:tr>
        <w:tc>
          <w:tcPr>
            <w:tcW w:type="dxa" w:w="7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7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엽성 출혈 병변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0개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 경우: 백질 feature 있는가?</w:t>
            </w:r>
          </w:p>
        </w:tc>
        <w:tc>
          <w:tcPr>
            <w:tcW w:type="dxa" w:w="3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있음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Possible CAA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없음 → CAA 기준 불충족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</w:rPr>
              <w:t xml:space="preserve">판독 시 흔한 함정 (원저 근거)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cSS 개수 세기</w:t>
            </w:r>
            <w:r>
              <w:rPr>
                <w:rFonts w:ascii="Malgun Gothic" w:cs="Malgun Gothic" w:eastAsia="Malgun Gothic" w:hAnsi="Malgun Gothic"/>
              </w:rPr>
              <w:t xml:space="preserve">: 인접한 두 이랑까지 이어진 것은 1개. 비침범 영역으로 떨어져 있거나 3개 이상 인접 이랑이면 multifocal(≥2).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ICH 주변 cSS</w:t>
            </w:r>
            <w:r>
              <w:rPr>
                <w:rFonts w:ascii="Malgun Gothic" w:cs="Malgun Gothic" w:eastAsia="Malgun Gothic" w:hAnsi="Malgun Gothic"/>
              </w:rPr>
              <w:t xml:space="preserve">: 인접 lobar ICH에서 연장된 표재성 혈액은 별도 병변으로 세지 않음.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Fazekas(periventricular/deep WMH) 점수</w:t>
            </w:r>
            <w:r>
              <w:rPr>
                <w:rFonts w:ascii="Malgun Gothic" w:cs="Malgun Gothic" w:eastAsia="Malgun Gothic" w:hAnsi="Malgun Gothic"/>
              </w:rPr>
              <w:t xml:space="preserve">는 CAA 판정에 쓰이지 않음 — 유의미한 연관이 없었음.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WMH-MS</w:t>
            </w:r>
            <w:r>
              <w:rPr>
                <w:rFonts w:ascii="Malgun Gothic" w:cs="Malgun Gothic" w:eastAsia="Malgun Gothic" w:hAnsi="Malgun Gothic"/>
              </w:rPr>
              <w:t xml:space="preserve">는 "다발성 점상 피질하 WMH" 패턴이지 전체 WMH 부담이 아님.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SWI</w:t>
            </w:r>
            <w:r>
              <w:rPr>
                <w:rFonts w:ascii="Malgun Gothic" w:cs="Malgun Gothic" w:eastAsia="Malgun Gothic" w:hAnsi="Malgun Gothic"/>
              </w:rPr>
              <w:t xml:space="preserve">가 GRE보다 진단 정확도를 높임 → 장비에 따라 CMB 개수가 달라질 수 있음을 인지.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Mixed lobar + deep 출혈</w:t>
            </w:r>
            <w:r>
              <w:rPr>
                <w:rFonts w:ascii="Malgun Gothic" w:cs="Malgun Gothic" w:eastAsia="Malgun Gothic" w:hAnsi="Malgun Gothic"/>
              </w:rPr>
              <w:t xml:space="preserve">: 일부는 non-CAA SVD, 일부는 진행된 CAA — v2.0은 이 군을 다루지 않음 (36예로 부족).</w:t>
            </w:r>
          </w:p>
        </w:tc>
      </w:tr>
    </w:tbl>
    <w:p/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7F7F7F"/>
          <w:sz w:val="17"/>
          <w:szCs w:val="17"/>
        </w:rPr>
        <w:t xml:space="preserve">출처: PMC9389452, Results &amp; Discussion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8. 한계와 향후 과제 (원저 Discussion)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선택 편향</w:t>
      </w:r>
      <w:r>
        <w:rPr>
          <w:rFonts w:ascii="Malgun Gothic" w:cs="Malgun Gothic" w:eastAsia="Malgun Gothic" w:hAnsi="Malgun Gothic"/>
        </w:rPr>
        <w:t xml:space="preserve">: MRI + 병리조직 필요 → 사망(부검)·급속 진행(생검)·큰 ICH(혈종 제거) 등 </w:t>
      </w:r>
      <w:r>
        <w:rPr>
          <w:rFonts w:ascii="Malgun Gothic" w:cs="Malgun Gothic" w:eastAsia="Malgun Gothic" w:hAnsi="Malgun Gothic"/>
          <w:b/>
          <w:bCs/>
        </w:rPr>
        <w:t xml:space="preserve">중증 CAA 쪽으로 편향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Spectrum bias</w:t>
      </w:r>
      <w:r>
        <w:rPr>
          <w:rFonts w:ascii="Malgun Gothic" w:cs="Malgun Gothic" w:eastAsia="Malgun Gothic" w:hAnsi="Malgun Gothic"/>
        </w:rPr>
        <w:t xml:space="preserve"> → 진단 정확도 </w:t>
      </w:r>
      <w:r>
        <w:rPr>
          <w:rFonts w:ascii="Malgun Gothic" w:cs="Malgun Gothic" w:eastAsia="Malgun Gothic" w:hAnsi="Malgun Gothic"/>
          <w:b/>
          <w:bCs/>
        </w:rPr>
        <w:t xml:space="preserve">과대추정</w:t>
      </w:r>
      <w:r>
        <w:rPr>
          <w:rFonts w:ascii="Malgun Gothic" w:cs="Malgun Gothic" w:eastAsia="Malgun Gothic" w:hAnsi="Malgun Gothic"/>
        </w:rPr>
        <w:t xml:space="preserve">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거의 </w:t>
      </w:r>
      <w:r>
        <w:rPr>
          <w:rFonts w:ascii="Malgun Gothic" w:cs="Malgun Gothic" w:eastAsia="Malgun Gothic" w:hAnsi="Malgun Gothic"/>
          <w:b/>
          <w:bCs/>
        </w:rPr>
        <w:t xml:space="preserve">백인·유럽계</w:t>
      </w:r>
      <w:r>
        <w:rPr>
          <w:rFonts w:ascii="Malgun Gothic" w:cs="Malgun Gothic" w:eastAsia="Malgun Gothic" w:hAnsi="Malgun Gothic"/>
        </w:rPr>
        <w:t xml:space="preserve"> 대상에서 도출 → 다른 인종·지역 외부 검증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기관별 다른 신경병리 판독자, MRI 기법 차이(PVS용 T2, 출혈용 T2*)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MRI와 병리 채취 간 시간 간격: 약 1주 ~ 2.2년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대조군 선정의 일반적 어려움 (환자와 같은 양상으로 내원한 병리 음성자를 대조군으로)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미검증 영역</w:t>
      </w:r>
      <w:r>
        <w:rPr>
          <w:rFonts w:ascii="Malgun Gothic" w:cs="Malgun Gothic" w:eastAsia="Malgun Gothic" w:hAnsi="Malgun Gothic"/>
        </w:rPr>
        <w:t xml:space="preserve">: 의인성·유전성 CAA, mixed lobar/non-lobar 출혈, 다양한 신경퇴행 병리 동반 인지장애, 비백인 집단, </w:t>
      </w:r>
      <w:r>
        <w:rPr>
          <w:rFonts w:ascii="Malgun Gothic" w:cs="Malgun Gothic" w:eastAsia="Malgun Gothic" w:hAnsi="Malgun Gothic"/>
          <w:b/>
          <w:bCs/>
        </w:rPr>
        <w:t xml:space="preserve">무증상 일반인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Amyloid-PET, CSF Aβ 등 비-MRI biomarker는 아직 기준에 미포함</w:t>
      </w:r>
    </w:p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7F7F7F"/>
          <w:sz w:val="17"/>
          <w:szCs w:val="17"/>
        </w:rPr>
        <w:t xml:space="preserve">출처: PMC9389452, Discussion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9. 연관 개념 — STRIVE-2 및 CT 기준과의 연결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5087"/>
        <w:gridCol w:w="2409"/>
      </w:tblGrid>
      <w:tr>
        <w:trPr>
          <w:tblHeader/>
        </w:trPr>
        <w:tc>
          <w:tcPr>
            <w:tcW w:type="dxa" w:w="21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개념</w:t>
            </w:r>
          </w:p>
        </w:tc>
        <w:tc>
          <w:tcPr>
            <w:tcW w:type="dxa" w:w="5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</w:tr>
      <w:tr>
        <w:tc>
          <w:tcPr>
            <w:tcW w:type="dxa" w:w="21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STRIVE-2의 Boston 2.0 언급</w:t>
            </w:r>
          </w:p>
        </w:tc>
        <w:tc>
          <w:tcPr>
            <w:tcW w:type="dxa" w:w="5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"CSO-PVS 고부담 + 단일 strictly lobar 출혈성 feature(ICH, CMB, cSS) → probable CAA"</w:t>
            </w:r>
          </w:p>
        </w:tc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Duering M et al. Lancet Neurol 2023;22:602–18 (p.606)</w:t>
            </w:r>
          </w:p>
        </w:tc>
      </w:tr>
      <w:tr>
        <w:tc>
          <w:tcPr>
            <w:tcW w:type="dxa" w:w="21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Lobar CMB의 의미</w:t>
            </w:r>
          </w:p>
        </w:tc>
        <w:tc>
          <w:tcPr>
            <w:tcW w:type="dxa" w:w="5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Strictly lobar CMB(&gt;65세)는 CAA 진단 정확도 좋음; mixed deep-lobar CMB는 아마 arteriolosclerosis</w:t>
            </w:r>
          </w:p>
        </w:tc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STRIVE-2 p.607</w:t>
            </w:r>
          </w:p>
        </w:tc>
      </w:tr>
      <w:tr>
        <w:tc>
          <w:tcPr>
            <w:tcW w:type="dxa" w:w="21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cSS의 예후</w:t>
            </w:r>
          </w:p>
        </w:tc>
        <w:tc>
          <w:tcPr>
            <w:tcW w:type="dxa" w:w="5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CAA에서 향후 ICH, 기능저하, ICH 후 치매의 강력한 예측인자; cSS를 고려하면 CMB의 lobar ICH 예측 기여는 미미</w:t>
            </w:r>
          </w:p>
        </w:tc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STRIVE-2 p.607</w:t>
            </w:r>
          </w:p>
        </w:tc>
      </w:tr>
      <w:tr>
        <w:tc>
          <w:tcPr>
            <w:tcW w:type="dxa" w:w="21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Cerebellar superficial siderosis</w:t>
            </w:r>
          </w:p>
        </w:tc>
        <w:tc>
          <w:tcPr>
            <w:tcW w:type="dxa" w:w="5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진행된 CAA의 진단 biomarker로 언급</w:t>
            </w:r>
          </w:p>
        </w:tc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STRIVE-2 p.607</w:t>
            </w:r>
          </w:p>
        </w:tc>
      </w:tr>
      <w:tr>
        <w:tc>
          <w:tcPr>
            <w:tcW w:type="dxa" w:w="21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TFNE ("amyloid spells")</w:t>
            </w:r>
          </w:p>
        </w:tc>
        <w:tc>
          <w:tcPr>
            <w:tcW w:type="dxa" w:w="5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CAA + 급성 cSAH/cSS(드물게 CMB); 대개 일측성·반복성·정형화된 퍼지는 체감각 장애; 병변 위치와 증상이 해부학적으로 일치</w:t>
            </w:r>
          </w:p>
        </w:tc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STRIVE-2 p.607</w:t>
            </w:r>
          </w:p>
        </w:tc>
      </w:tr>
      <w:tr>
        <w:tc>
          <w:tcPr>
            <w:tcW w:type="dxa" w:w="21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Edinburgh CT criteria</w:t>
            </w:r>
          </w:p>
        </w:tc>
        <w:tc>
          <w:tcPr>
            <w:tcW w:type="dxa" w:w="5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급성 lobar ICH에서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SAH extension + finger-like projections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(CT) +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APOE genotype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→ CAA 관련 ICH 진단; MRI 불가 시 유용</w:t>
            </w:r>
          </w:p>
        </w:tc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STRIVE-2 p.607; Rodrigues MA et al. Lancet Neurol 2018;17:232–40</w:t>
            </w:r>
          </w:p>
        </w:tc>
      </w:tr>
    </w:tbl>
    <w:p/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10. 핵심 숫자 암기표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7"/>
        <w:gridCol w:w="5841"/>
      </w:tblGrid>
      <w:tr>
        <w:trPr>
          <w:tblHeader/>
        </w:trP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숫자</w:t>
            </w:r>
          </w:p>
        </w:tc>
        <w:tc>
          <w:tcPr>
            <w:tcW w:type="dxa" w:w="5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의미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≥50세</w:t>
            </w:r>
          </w:p>
        </w:tc>
        <w:tc>
          <w:tcPr>
            <w:tcW w:type="dxa" w:w="5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Probable/possible CAA 적용 연령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≥2</w:t>
            </w:r>
          </w:p>
        </w:tc>
        <w:tc>
          <w:tcPr>
            <w:tcW w:type="dxa" w:w="5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Strictly lobar 출혈 병변 개수 (probable)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 + 1</w:t>
            </w:r>
          </w:p>
        </w:tc>
        <w:tc>
          <w:tcPr>
            <w:tcW w:type="dxa" w:w="5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엽성 출혈 1개 + 백질 feature 1개 (probable)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&gt;20 / 한쪽 반구</w:t>
            </w:r>
          </w:p>
        </w:tc>
        <w:tc>
          <w:tcPr>
            <w:tcW w:type="dxa" w:w="5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Severe CSO-PVS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&gt;10</w:t>
            </w:r>
          </w:p>
        </w:tc>
        <w:tc>
          <w:tcPr>
            <w:tcW w:type="dxa" w:w="5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WMH-multispot (양측 피질하 작은 원형/난원형 병변)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2개 인접 이랑까지 = 1개 / 3개 이상 인접 이랑 = multifocal</w:t>
            </w:r>
          </w:p>
        </w:tc>
        <w:tc>
          <w:tcPr>
            <w:tcW w:type="dxa" w:w="5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cSS 병소 계산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10개 기관 / n=341</w:t>
            </w:r>
          </w:p>
        </w:tc>
        <w:tc>
          <w:tcPr>
            <w:tcW w:type="dxa" w:w="5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참여기관 / 전체 대상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159 / 59 / 123</w:t>
            </w:r>
          </w:p>
        </w:tc>
        <w:tc>
          <w:tcPr>
            <w:tcW w:type="dxa" w:w="5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Derivation / temporal / geographical 코호트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OR 40</w:t>
            </w:r>
          </w:p>
        </w:tc>
        <w:tc>
          <w:tcPr>
            <w:tcW w:type="dxa" w:w="5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cSS의 CAA 연관 (가장 강함)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74.5% / 95.0% / 0.848</w:t>
            </w:r>
          </w:p>
        </w:tc>
        <w:tc>
          <w:tcPr>
            <w:tcW w:type="dxa" w:w="5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v2.0 probable: 민감도 / 특이도 / AUC (부검)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64.5% / 95.0% / 0.798</w:t>
            </w:r>
          </w:p>
        </w:tc>
        <w:tc>
          <w:tcPr>
            <w:tcW w:type="dxa" w:w="5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v1.5 modified: 민감도 / 특이도 / AUC (부검)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 = 0.0005</w:t>
            </w:r>
          </w:p>
        </w:tc>
        <w:tc>
          <w:tcPr>
            <w:tcW w:type="dxa" w:w="5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AUC 비교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~90%</w:t>
            </w:r>
          </w:p>
        </w:tc>
        <w:tc>
          <w:tcPr>
            <w:tcW w:type="dxa" w:w="5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Possible + probable 범주 민감도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kappa &gt;0.8</w:t>
            </w:r>
          </w:p>
        </w:tc>
        <w:tc>
          <w:tcPr>
            <w:tcW w:type="dxa" w:w="5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모든 MRI marker의 평가자 간 일치도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Vonsattel ≥2 (부검) / ≥1 (생검·혈종)</w:t>
            </w:r>
          </w:p>
        </w:tc>
        <w:tc>
          <w:tcPr>
            <w:tcW w:type="dxa" w:w="5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병리적 CAA 확진 기준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≥10개</w:t>
            </w:r>
          </w:p>
        </w:tc>
        <w:tc>
          <w:tcPr>
            <w:tcW w:type="dxa" w:w="5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병리 검체의 평가 가능한 피질/연수막 혈관 수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36예</w:t>
            </w:r>
          </w:p>
        </w:tc>
        <w:tc>
          <w:tcPr>
            <w:tcW w:type="dxa" w:w="5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Mixed lobar + non-lobar 출혈 (기준 개발에 부족)</w:t>
            </w:r>
          </w:p>
        </w:tc>
      </w:tr>
    </w:tbl>
    <w:p/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11. Self-test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"/>
        <w:gridCol w:w="4381"/>
        <w:gridCol w:w="4819"/>
      </w:tblGrid>
      <w:tr>
        <w:trPr>
          <w:tblHeader/>
        </w:trP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v1.5 대비 v2.0의 두 가지 핵심 변화는?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① multifocal cSS/cSAH를 ≥2개 병변으로 계산 → 단독 probable 가능 ② 백질 marker(severe CSO-PVS, WMH-MS) 도입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Severe CSO-PVS와 WMH-MS의 정의는?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CSO-PVS: 한쪽 반구 &gt;20개 / WMH-MS: 양측 피질하 백질의 작은 원형·난원형 T2/FLAIR 고신호 &gt;10개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72세 TFNE 환자, 좌측 전두엽 cSS가 인접 2개 이랑에만 있고 다른 출혈 없음, CSO-PVS 한쪽 반구 25개. 진단은?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엽성 출혈 병변 1개(cSS 1개 병소) + 백질 feature 1개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Probable CAA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같은 환자에서 CSO-PVS가 10개라면?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엽성 출혈 1개, 백질 feature 없음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Possible CAA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68세 인지저하, 출혈 병변 없음, WMH-MS 있음. 진단은?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백질 feature 1개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Possible CAA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4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엽성 CMB 5개 + 시상 CMB 1개인 75세 ICH 환자는?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심부 출혈 병변 존재 → probable/possible 불충족 (mixed pattern, v2.0 미해결 영역)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4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Periventricular WMH Fazekas 3은 CAA 판정에 쓰이나?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아니오 — periventricular/deep WMH 중증도는 CAA와 연관 없어 제외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v2.0 probable CAA의 부검 기준 민감도·특이도는?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74.5% / 95.0% (v1.5: 64.5% / 95.0%)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4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Probable과 possible 범주의 설계 목표 차이는?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Probable = rule-in (특이도 유지, 민감도↑) / Possible = rule-out (민감도 최대화)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4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급성 cSAH가 기존 cSS 근처에 있을 때 계산법은?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2개의 출혈 marker — cSAH의 급성성이 시간적 파종 증거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4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v2.0에서 검증되지 않은 대상은?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무증상인, 의인성·유전성 CAA, mixed 출혈, 비백인 집단 등</w:t>
            </w:r>
          </w:p>
        </w:tc>
      </w:tr>
    </w:tbl>
    <w:p/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12. 참고문헌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Charidimou A, Boulouis G, Frosch MP, et al. The Boston criteria version 2.0 for cerebral amyloid angiopathy: a multicentre, retrospective, MRI-neuropathology diagnostic accuracy study. Lancet Neurol 2022;21:714–25. doi:10.1016/S1474-4422(22)00208-3 (PMID 35841910; PMC9389452)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Duering M, Biessels GJ, Brodtmann A, et al. Neuroimaging standards for research into small vessel disease—advances since 2013 (STRIVE-2). Lancet Neurol 2023;22:602–18. doi:10.1016/S1474-4422(23)00131-X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Knudsen KA, Rosand J, Karluk D, Greenberg SM. Clinical diagnosis of cerebral amyloid angiopathy: validation of the Boston criteria. Neurology 2001;56:537–39. [보충]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Linn J, Halpin A, Demaerel P, et al. Prevalence of superficial siderosis in patients with cerebral amyloid angiopathy. Neurology 2010;74:1346–50. [보충]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Rodrigues MA, Samarasekera N, Lerpiniere C, et al. The Edinburgh CT and genetic diagnostic criteria for lobar intracerebral haemorrhage associated with cerebral amyloid angiopathy. Lancet Neurol 2018;17:232–40.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Charidimou A, Boulouis G, Greenberg SM, Viswanathan A. Cortical superficial siderosis and bleeding risk in cerebral amyloid angiopathy: a meta-analysis. Neurology 2019;93:e2192–202.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Smith EE, Charidimou A, Ayata C, Werring DJ, Greenberg SM. Cerebral amyloid angiopathy-related transient focal neurologic episodes. Neurology 2021;97:231–38.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F7F7F"/>
        <w:sz w:val="16"/>
        <w:szCs w:val="16"/>
      </w:rPr>
      <w:t xml:space="preserve">Boston CAA v2.0 학습 노트 ·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  <w:lvl w:ilvl="2" w15:tentative="1">
      <w:start w:val="1"/>
      <w:numFmt w:val="bullet"/>
      <w:lvlText w:val="·"/>
      <w:lvlJc w:val="left"/>
      <w:pPr>
        <w:ind w:left="12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24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Boston CAA v2.0 학습 노트</dc:title>
  <dc:creator>Study notes</dc:creator>
  <cp:lastModifiedBy>Un-named</cp:lastModifiedBy>
  <cp:revision>1</cp:revision>
  <dcterms:created xsi:type="dcterms:W3CDTF">2026-09-23T08:53:36.815Z</dcterms:created>
  <dcterms:modified xsi:type="dcterms:W3CDTF">2026-09-23T08:53:36.826Z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