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18837D1" w:rsidR="00737D87" w:rsidRPr="00FD0E07" w:rsidRDefault="00000000" w:rsidP="00FD0E07">
      <w:pPr>
        <w:pStyle w:val="Ttulo1"/>
        <w:rPr>
          <w:b/>
          <w:bCs/>
        </w:rPr>
      </w:pPr>
      <w:r w:rsidRPr="00FD0E07">
        <w:rPr>
          <w:b/>
          <w:bCs/>
        </w:rPr>
        <w:t>Integridad y Seguridad de los Datos</w:t>
      </w:r>
    </w:p>
    <w:p w14:paraId="00000002" w14:textId="6B34F7A9" w:rsidR="00737D87" w:rsidRPr="00AA2B7C" w:rsidRDefault="00AA2B7C" w:rsidP="00FD0E07">
      <w:pPr>
        <w:spacing w:before="240" w:after="240" w:line="360" w:lineRule="auto"/>
      </w:pPr>
      <w:r w:rsidRPr="00A548A9">
        <w:rPr>
          <w:b/>
          <w:color w:val="FF0000"/>
        </w:rPr>
        <w:t>Registros</w:t>
      </w:r>
      <w:r w:rsidRPr="00A548A9">
        <w:rPr>
          <w:color w:val="FF0000"/>
        </w:rPr>
        <w:t>: Las facturas deben contener información específica como el NIF, número de factura, fecha, tipo de factura y régimen tributario.</w:t>
      </w:r>
      <w:r>
        <w:br/>
      </w:r>
      <w:r w:rsidR="00384222">
        <w:rPr>
          <w:noProof/>
        </w:rPr>
        <w:drawing>
          <wp:inline distT="0" distB="0" distL="0" distR="0" wp14:anchorId="6A0E07DA" wp14:editId="375020F8">
            <wp:extent cx="4991100" cy="752475"/>
            <wp:effectExtent l="0" t="0" r="0" b="9525"/>
            <wp:docPr id="1222250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5">
        <w:r w:rsidR="00737D87">
          <w:rPr>
            <w:color w:val="1155CC"/>
            <w:u w:val="single"/>
          </w:rPr>
          <w:t>https://elderecho.com/requisitos-de-los-programas-informaticos-de-facturacion</w:t>
        </w:r>
      </w:hyperlink>
      <w:r>
        <w:br/>
      </w:r>
    </w:p>
    <w:p w14:paraId="00000003" w14:textId="63CC3C46" w:rsidR="00737D87" w:rsidRDefault="00000000">
      <w:pPr>
        <w:spacing w:before="240" w:after="240"/>
      </w:pPr>
      <w:r>
        <w:rPr>
          <w:b/>
        </w:rPr>
        <w:t>Inalterabilidad de Registros</w:t>
      </w:r>
      <w:r>
        <w:t>: El software debe impedir la destrucción o modificación de las facturas emitidas, garantizando la inalterabilidad de los registros.</w:t>
      </w:r>
    </w:p>
    <w:p w14:paraId="31CF8683" w14:textId="77777777" w:rsidR="00CD3020" w:rsidRDefault="00000000">
      <w:pPr>
        <w:spacing w:before="240" w:after="240"/>
        <w:rPr>
          <w:b/>
          <w:noProof/>
        </w:rPr>
      </w:pPr>
      <w:r>
        <w:rPr>
          <w:b/>
        </w:rPr>
        <w:t>Registro de Eventos</w:t>
      </w:r>
      <w:r>
        <w:t>: Los programas deberán llevar un registro de los eventos que realicen sus usuarios, tales como el encendido y apagado, los errores producidos, o la instalación y actualizaciones realizadas y deberán poder ser consultados desde el propio sistema informático.</w:t>
      </w:r>
      <w:r>
        <w:br/>
      </w:r>
    </w:p>
    <w:p w14:paraId="36FEB08B" w14:textId="77777777" w:rsidR="00374E63" w:rsidRDefault="00374E63">
      <w:pPr>
        <w:spacing w:before="240" w:after="240"/>
        <w:rPr>
          <w:b/>
          <w:noProof/>
        </w:rPr>
      </w:pPr>
    </w:p>
    <w:p w14:paraId="00000004" w14:textId="6232193A" w:rsidR="00737D87" w:rsidRDefault="00CD3020">
      <w:pPr>
        <w:spacing w:before="240" w:after="240"/>
      </w:pPr>
      <w:r>
        <w:rPr>
          <w:b/>
          <w:noProof/>
        </w:rPr>
        <w:drawing>
          <wp:inline distT="0" distB="0" distL="0" distR="0" wp14:anchorId="31F2E578" wp14:editId="049BA5BE">
            <wp:extent cx="2676031" cy="1800225"/>
            <wp:effectExtent l="0" t="0" r="0" b="0"/>
            <wp:docPr id="469728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6" b="50535"/>
                    <a:stretch/>
                  </pic:blipFill>
                  <pic:spPr bwMode="auto">
                    <a:xfrm>
                      <a:off x="0" y="0"/>
                      <a:ext cx="2708632" cy="18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5" w14:textId="77777777" w:rsidR="00737D87" w:rsidRDefault="00737D87">
      <w:pPr>
        <w:spacing w:before="240" w:after="240"/>
      </w:pPr>
    </w:p>
    <w:p w14:paraId="00000006" w14:textId="77777777" w:rsidR="00737D87" w:rsidRDefault="00000000">
      <w:pPr>
        <w:spacing w:before="240" w:after="240"/>
      </w:pPr>
      <w:r>
        <w:rPr>
          <w:b/>
        </w:rPr>
        <w:t>Interoperabilidad con Plataformas de Intercambio</w:t>
      </w:r>
      <w:r>
        <w:t>:</w:t>
      </w:r>
    </w:p>
    <w:p w14:paraId="00000007" w14:textId="77777777" w:rsidR="00737D87" w:rsidRDefault="00000000">
      <w:pPr>
        <w:spacing w:before="240" w:after="240"/>
      </w:pPr>
      <w:r>
        <w:rPr>
          <w:b/>
        </w:rPr>
        <w:t>Conexión con Solución Pública de Facturación Electrónica</w:t>
      </w:r>
      <w:r>
        <w:t>: El software debe poder conectarse con la plataforma pública de la Agencia Tributaria y otras plataformas privadas, asegurando la interoperabilidad para el intercambio de facturas electrónicas</w:t>
      </w:r>
    </w:p>
    <w:p w14:paraId="00000008" w14:textId="77777777" w:rsidR="00737D87" w:rsidRDefault="00737D87">
      <w:pPr>
        <w:spacing w:before="240" w:after="240"/>
        <w:ind w:left="720"/>
      </w:pPr>
    </w:p>
    <w:p w14:paraId="00000009" w14:textId="77777777" w:rsidR="00737D87" w:rsidRDefault="00000000">
      <w:pPr>
        <w:spacing w:before="240" w:after="240"/>
      </w:pPr>
      <w:r>
        <w:rPr>
          <w:b/>
        </w:rPr>
        <w:t>Generación de Código QR</w:t>
      </w:r>
      <w:r>
        <w:t>:</w:t>
      </w:r>
    </w:p>
    <w:p w14:paraId="0000000A" w14:textId="77777777" w:rsidR="00737D87" w:rsidRDefault="00000000">
      <w:pPr>
        <w:spacing w:before="240" w:after="240"/>
      </w:pPr>
      <w:r>
        <w:rPr>
          <w:b/>
        </w:rPr>
        <w:lastRenderedPageBreak/>
        <w:t>Inclusión de Código QR</w:t>
      </w:r>
      <w:r>
        <w:t>: Todas las facturas deben incluir un código QR que facilite la captura y digitalización de la información impresa. En el caso de facturas electrónicas, el contenido representado por el código QR debe estar presente.</w:t>
      </w:r>
    </w:p>
    <w:p w14:paraId="0000000B" w14:textId="77777777" w:rsidR="00737D87" w:rsidRDefault="00737D87">
      <w:pPr>
        <w:spacing w:before="240" w:after="240"/>
      </w:pPr>
      <w:hyperlink r:id="rId7">
        <w:r>
          <w:rPr>
            <w:color w:val="1155CC"/>
            <w:u w:val="single"/>
          </w:rPr>
          <w:t>https://controlgroup.es/blog/certificacion-de-software-de-facturacion</w:t>
        </w:r>
      </w:hyperlink>
    </w:p>
    <w:p w14:paraId="0000000C" w14:textId="77777777" w:rsidR="00737D87" w:rsidRDefault="00000000">
      <w:pPr>
        <w:spacing w:before="240" w:after="240"/>
        <w:ind w:left="720"/>
      </w:pPr>
      <w:r>
        <w:br/>
      </w:r>
    </w:p>
    <w:p w14:paraId="0000000D" w14:textId="77777777" w:rsidR="00737D87" w:rsidRDefault="00000000">
      <w:pPr>
        <w:spacing w:before="240" w:after="240"/>
        <w:rPr>
          <w:b/>
        </w:rPr>
      </w:pPr>
      <w:r>
        <w:rPr>
          <w:b/>
        </w:rPr>
        <w:t>Requisitos Técnicos del Software:</w:t>
      </w:r>
    </w:p>
    <w:p w14:paraId="0000000E" w14:textId="77777777" w:rsidR="00737D87" w:rsidRDefault="00000000">
      <w:pPr>
        <w:spacing w:before="240" w:after="240"/>
      </w:pPr>
      <w:r>
        <w:rPr>
          <w:b/>
        </w:rPr>
        <w:t>Integridad y seguridad</w:t>
      </w:r>
      <w:r>
        <w:t xml:space="preserve">: Los sistemas deben garantizar la inalterabilidad de las facturas mediante el uso de </w:t>
      </w:r>
      <w:r>
        <w:rPr>
          <w:b/>
        </w:rPr>
        <w:t>"hash" encadenado</w:t>
      </w:r>
      <w:r>
        <w:t xml:space="preserve"> y </w:t>
      </w:r>
      <w:r>
        <w:rPr>
          <w:b/>
        </w:rPr>
        <w:t>firma electrónica</w:t>
      </w:r>
      <w:r>
        <w:t>.</w:t>
      </w:r>
    </w:p>
    <w:p w14:paraId="0000000F" w14:textId="77777777" w:rsidR="00737D87" w:rsidRDefault="00737D87">
      <w:pPr>
        <w:spacing w:before="240" w:after="240"/>
      </w:pPr>
      <w:hyperlink r:id="rId8">
        <w:r>
          <w:rPr>
            <w:color w:val="1155CC"/>
            <w:u w:val="single"/>
          </w:rPr>
          <w:t>https://elderecho.com/requisitos-de-los-programas-informaticos-de-facturacion</w:t>
        </w:r>
      </w:hyperlink>
    </w:p>
    <w:p w14:paraId="00000010" w14:textId="77777777" w:rsidR="00737D87" w:rsidRDefault="00000000">
      <w:pPr>
        <w:spacing w:before="240" w:after="240"/>
      </w:pPr>
      <w:r>
        <w:t xml:space="preserve">La AEAT no lo exige, pero recomienda usar sellos de tiempo (TSA) o </w:t>
      </w:r>
      <w:proofErr w:type="spellStart"/>
      <w:r>
        <w:t>blockchain</w:t>
      </w:r>
      <w:proofErr w:type="spellEnd"/>
      <w:r>
        <w:t xml:space="preserve"> para garantizar la integridad temporal de las facturas.</w:t>
      </w:r>
      <w:r>
        <w:br/>
      </w:r>
      <w:r>
        <w:br/>
      </w:r>
      <w:r>
        <w:rPr>
          <w:b/>
        </w:rPr>
        <w:t>Certificación ISO/IEC 27001</w:t>
      </w:r>
      <w:r>
        <w:t>: El software debe contar con la certificación de gestión de la seguridad de la información ISO/IEC 27001.</w:t>
      </w:r>
    </w:p>
    <w:p w14:paraId="00000011" w14:textId="77777777" w:rsidR="00737D87" w:rsidRDefault="00000000">
      <w:pPr>
        <w:spacing w:before="240" w:after="240"/>
      </w:pPr>
      <w:r>
        <w:rPr>
          <w:b/>
        </w:rPr>
        <w:t>Protocolos de Seguridad</w:t>
      </w:r>
      <w:r>
        <w:t>: El sistema debe utilizar protocolos seguros (AS2 o AS4) para la transmisión de datos, cumpliendo con las especificaciones establecidas.</w:t>
      </w:r>
    </w:p>
    <w:p w14:paraId="00000012" w14:textId="77777777" w:rsidR="00737D87" w:rsidRDefault="00000000">
      <w:pPr>
        <w:spacing w:before="240" w:after="240"/>
      </w:pPr>
      <w:r>
        <w:rPr>
          <w:b/>
        </w:rPr>
        <w:t>Firma Electrónica Avanzada</w:t>
      </w:r>
      <w:r>
        <w:t xml:space="preserve">: El software debe permitir la firma electrónica avanzada de las facturas electrónicas según el </w:t>
      </w:r>
      <w:r>
        <w:rPr>
          <w:b/>
        </w:rPr>
        <w:t>Reglamento 910/2014 de 23 de julio de 2014</w:t>
      </w:r>
      <w:r>
        <w:t xml:space="preserve"> sobre identificación electrónica y servicios de confianza para las transacciones electrónicas en el mercado interior y por el que se deroga la Directiva 1999/93/CE</w:t>
      </w:r>
    </w:p>
    <w:p w14:paraId="00000013" w14:textId="77777777" w:rsidR="00737D87" w:rsidRDefault="00000000">
      <w:pPr>
        <w:spacing w:before="240" w:after="240"/>
      </w:pPr>
      <w:r>
        <w:rPr>
          <w:b/>
        </w:rPr>
        <w:t>Intercambio de Facturas en Varios Formatos</w:t>
      </w:r>
      <w:r>
        <w:t xml:space="preserve">: El software debe ser capaz de intercambiar facturas electrónicas en los formatos válidos (XML, CVL, EDIFACT, </w:t>
      </w:r>
      <w:proofErr w:type="spellStart"/>
      <w:r>
        <w:t>Facturae</w:t>
      </w:r>
      <w:proofErr w:type="spellEnd"/>
      <w:r>
        <w:t>) y transformar mensajes entre diferentes sintaxis, asegurando la interoperabilidad con otras plataformas y sistemas.</w:t>
      </w:r>
    </w:p>
    <w:p w14:paraId="00000014" w14:textId="77777777" w:rsidR="00737D87" w:rsidRDefault="00737D87">
      <w:pPr>
        <w:spacing w:before="240" w:after="240"/>
      </w:pPr>
    </w:p>
    <w:p w14:paraId="00000015" w14:textId="77777777" w:rsidR="00737D87" w:rsidRDefault="00000000">
      <w:pPr>
        <w:spacing w:before="240" w:after="240"/>
      </w:pPr>
      <w:r>
        <w:rPr>
          <w:b/>
        </w:rPr>
        <w:t>Requisitos de Disponibilidad y Soporte:</w:t>
      </w:r>
    </w:p>
    <w:p w14:paraId="00000016" w14:textId="77777777" w:rsidR="00737D87" w:rsidRDefault="00000000">
      <w:pPr>
        <w:spacing w:before="240" w:after="240"/>
      </w:pPr>
      <w:r>
        <w:rPr>
          <w:b/>
        </w:rPr>
        <w:t>Disponibilidad del Servicio</w:t>
      </w:r>
      <w:r>
        <w:t xml:space="preserve">: El software debe asegurar una disponibilidad del servicio de al menos el </w:t>
      </w:r>
      <w:r>
        <w:rPr>
          <w:b/>
        </w:rPr>
        <w:t xml:space="preserve">99% </w:t>
      </w:r>
      <w:r>
        <w:t>(redundancia geográfica).</w:t>
      </w:r>
    </w:p>
    <w:p w14:paraId="00000017" w14:textId="77777777" w:rsidR="00737D87" w:rsidRDefault="00000000">
      <w:pPr>
        <w:spacing w:before="240" w:after="240"/>
      </w:pPr>
      <w:r>
        <w:rPr>
          <w:b/>
        </w:rPr>
        <w:t>Soporte Continuo</w:t>
      </w:r>
      <w:r>
        <w:t>: El sistema debe contar con recursos de soporte disponibles en todo momento, con tiempos de respuesta definidos para diferentes tipos de incidencias.</w:t>
      </w:r>
    </w:p>
    <w:p w14:paraId="00000018" w14:textId="77777777" w:rsidR="00737D87" w:rsidRDefault="00737D87">
      <w:pPr>
        <w:spacing w:before="240" w:after="240"/>
      </w:pPr>
      <w:hyperlink r:id="rId9">
        <w:r>
          <w:rPr>
            <w:color w:val="1155CC"/>
            <w:u w:val="single"/>
          </w:rPr>
          <w:t>https://www.bi-spain.com/articulo/requisitos-tecnicos-para-soluciones-de-factura-electronica-que-exige-el-borrador-del-decreto-ley-que-desarrolla-la-ley-crea-y-crece/</w:t>
        </w:r>
      </w:hyperlink>
      <w:r>
        <w:br/>
      </w:r>
    </w:p>
    <w:p w14:paraId="00000019" w14:textId="77777777" w:rsidR="00737D87" w:rsidRDefault="00000000">
      <w:pPr>
        <w:spacing w:before="240" w:after="240"/>
      </w:pPr>
      <w:r>
        <w:lastRenderedPageBreak/>
        <w:br/>
      </w:r>
      <w:r>
        <w:rPr>
          <w:b/>
        </w:rPr>
        <w:t>Facturación Electrónica:</w:t>
      </w:r>
    </w:p>
    <w:p w14:paraId="0000001A" w14:textId="77777777" w:rsidR="00737D87" w:rsidRDefault="00000000">
      <w:pPr>
        <w:spacing w:before="240" w:after="240"/>
      </w:pPr>
      <w:r>
        <w:rPr>
          <w:b/>
        </w:rPr>
        <w:t>Formatos Válidos</w:t>
      </w:r>
      <w:r>
        <w:t xml:space="preserve">: Las facturas electrónicas deben generarse en formatos como </w:t>
      </w:r>
      <w:r>
        <w:rPr>
          <w:b/>
        </w:rPr>
        <w:t xml:space="preserve">XML, CVL, EDIFACT y </w:t>
      </w:r>
      <w:proofErr w:type="spellStart"/>
      <w:r>
        <w:rPr>
          <w:b/>
        </w:rPr>
        <w:t>Facturae</w:t>
      </w:r>
      <w:proofErr w:type="spellEnd"/>
      <w:r>
        <w:t>, y ya no se utilizará el formato PDF en B2B.</w:t>
      </w:r>
      <w:r>
        <w:br/>
        <w:t>Solo para B2C (Consumidores finales) se permitirá PDF no estructurado, siempre que incluya el código QR.</w:t>
      </w:r>
    </w:p>
    <w:p w14:paraId="0000001B" w14:textId="77777777" w:rsidR="00737D87" w:rsidRDefault="00000000">
      <w:pPr>
        <w:spacing w:before="240" w:after="240"/>
      </w:pPr>
      <w:r>
        <w:rPr>
          <w:b/>
        </w:rPr>
        <w:t>Envío al Sistema de Facturación Electrónica</w:t>
      </w:r>
      <w:r>
        <w:t>: Las facturas se enviarán al Sistema Español de Facturación Electrónica (CEF), compuesto por plataformas públicas y privadas. La plataforma pública, dependiente de la Agencia Tributaria, actuará como repositorio universal y ofrecerá emisión y recepción gratuitas. Las plataformas privadas deberán interconectarse y enviar copias a la solución pública.</w:t>
      </w:r>
    </w:p>
    <w:p w14:paraId="0000001C" w14:textId="77777777" w:rsidR="00737D87" w:rsidRDefault="00000000">
      <w:pPr>
        <w:spacing w:before="240" w:after="240"/>
      </w:pPr>
      <w:r>
        <w:rPr>
          <w:b/>
        </w:rPr>
        <w:t>Notificación de Pago</w:t>
      </w:r>
      <w:r>
        <w:t>: Se exigirá notificar el pago de facturas para vigilar el cumplimiento del plazo máximo de 60 días para autónomos y 30 días para empresas. Los estados de la factura incluirán aceptación, rechazo, pago efectivo y cesión a terceros.</w:t>
      </w:r>
    </w:p>
    <w:p w14:paraId="0000001D" w14:textId="77777777" w:rsidR="00737D87" w:rsidRDefault="00737D87">
      <w:pPr>
        <w:spacing w:before="240" w:after="240"/>
      </w:pPr>
      <w:hyperlink r:id="rId10">
        <w:r>
          <w:rPr>
            <w:color w:val="1155CC"/>
            <w:u w:val="single"/>
          </w:rPr>
          <w:t>https://blog.prodwaregroup.com/es/perfiles/finanzas/ley-crea-y-crece-facturacion/</w:t>
        </w:r>
      </w:hyperlink>
    </w:p>
    <w:p w14:paraId="0000001E" w14:textId="77777777" w:rsidR="00737D87" w:rsidRDefault="00000000">
      <w:pPr>
        <w:spacing w:before="240" w:after="240"/>
      </w:pP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Certificación del software</w:t>
      </w:r>
      <w:r>
        <w:t xml:space="preserve">: La </w:t>
      </w:r>
      <w:r>
        <w:rPr>
          <w:b/>
        </w:rPr>
        <w:t>Agencia Tributaria</w:t>
      </w:r>
      <w:r>
        <w:t xml:space="preserve"> ofrece la posibilidad de certificar el software de facturación, reduce el riesgo de inspecciones y garantiza el cumplimiento técnico, necesita:</w:t>
      </w:r>
      <w:r>
        <w:br/>
        <w:t xml:space="preserve">- Libro de registro de facturas digital, con capacidad de consulta y auditoría, que cumpla con la Orden HAC/424/2023 </w:t>
      </w:r>
    </w:p>
    <w:p w14:paraId="0000001F" w14:textId="77777777" w:rsidR="00737D87" w:rsidRDefault="00000000">
      <w:pPr>
        <w:spacing w:before="240" w:after="240"/>
      </w:pPr>
      <w:r>
        <w:t>- Pruebas de interoperabilidad con la plataforma pública.</w:t>
      </w:r>
      <w:r>
        <w:br/>
      </w:r>
      <w:hyperlink r:id="rId11">
        <w:r w:rsidR="00737D87">
          <w:rPr>
            <w:color w:val="1155CC"/>
            <w:u w:val="single"/>
          </w:rPr>
          <w:t>https://sede.agenciatributaria.gob.es/Sede/procedimientoini/FZ01.shtml</w:t>
        </w:r>
      </w:hyperlink>
    </w:p>
    <w:p w14:paraId="00000020" w14:textId="77777777" w:rsidR="00737D87" w:rsidRDefault="00000000">
      <w:pPr>
        <w:spacing w:before="240" w:after="240"/>
      </w:pPr>
      <w:r>
        <w:br/>
      </w:r>
      <w:r>
        <w:rPr>
          <w:b/>
        </w:rPr>
        <w:t xml:space="preserve">Inalterabilidad: </w:t>
      </w:r>
      <w:r>
        <w:t>Un registro de facturación, una vez generado (y firmado / remitido a la AEAT) no debe ser modificado nunca por nadie (si se hiciera, se podría detectar: gracias a la huella, firma, encadenamiento...). Cualquier “cambio” que se desee hacer constar sobre el mismo, deberá realizarse a través de la generación de uno o más -según se necesite- registros de facturación nuevos, del tipo que corresponda a cada caso (normalmente -y de forma preferente- utilizando los procedimientos establecidos por el reglamento de obligaciones de facturación). Si por corregir se refiere a “recuperar” de algún modo lo que ya estaba generado, pero se había “perdido” o “corrompido”, la respuesta debe ser la contraria.</w:t>
      </w:r>
    </w:p>
    <w:p w14:paraId="00000021" w14:textId="77777777" w:rsidR="00737D87" w:rsidRDefault="00000000">
      <w:pPr>
        <w:spacing w:before="240" w:after="240"/>
      </w:pPr>
      <w:r>
        <w:t>En cuanto a la corrupción de datos, se recuerda que se debe cumplir con todos los requisitos que exige el reglamento y la orden, siendo en este caso de especial importancia la conservación (y también la legibilidad, accesibilidad e integridad inalterabilidad), por lo que deberán ponerse los medios necesarios para impedir la corrupción y garantizar la conservación.</w:t>
      </w:r>
      <w:r>
        <w:br/>
      </w:r>
      <w:r>
        <w:lastRenderedPageBreak/>
        <w:br/>
      </w:r>
      <w:hyperlink r:id="rId12">
        <w:r w:rsidR="00737D87">
          <w:rPr>
            <w:color w:val="1155CC"/>
            <w:u w:val="single"/>
          </w:rPr>
          <w:t>https://sede.agenciatributaria.gob.es/Sede/iva/sistemas-informaticos-facturacion-verifactu/preguntas-frecuentes/caracteristicas-requisitos-sif-integridad-inalterabilidad.html?faqId=987377fe52572910VgnVCM100000dc381e0aRCRD</w:t>
        </w:r>
      </w:hyperlink>
    </w:p>
    <w:p w14:paraId="00000022" w14:textId="77777777" w:rsidR="00737D87" w:rsidRDefault="00000000">
      <w:pPr>
        <w:spacing w:before="240" w:after="240"/>
        <w:rPr>
          <w:b/>
        </w:rPr>
      </w:pPr>
      <w:r>
        <w:rPr>
          <w:b/>
        </w:rPr>
        <w:t>Validación automática de NIF y estructura de facturas</w:t>
      </w:r>
    </w:p>
    <w:p w14:paraId="00000023" w14:textId="77777777" w:rsidR="00737D87" w:rsidRDefault="00000000">
      <w:pPr>
        <w:spacing w:before="240" w:after="240"/>
      </w:pPr>
      <w:r>
        <w:t>Valide el NIF del receptor/emisor contra la base de datos de la AEAT (evita errores).</w:t>
      </w:r>
    </w:p>
    <w:p w14:paraId="00000024" w14:textId="77777777" w:rsidR="00737D87" w:rsidRDefault="00000000">
      <w:pPr>
        <w:spacing w:before="240" w:after="240"/>
      </w:pPr>
      <w:r>
        <w:t xml:space="preserve">Verifique que las facturas electrónicas cumplen el esquema XSD de </w:t>
      </w:r>
      <w:proofErr w:type="spellStart"/>
      <w:r>
        <w:t>Facturae</w:t>
      </w:r>
      <w:proofErr w:type="spellEnd"/>
      <w:r>
        <w:t xml:space="preserve"> antes de enviarlas.</w:t>
      </w:r>
      <w:r>
        <w:br/>
      </w:r>
      <w:r>
        <w:br/>
      </w:r>
      <w:r>
        <w:br/>
      </w:r>
      <w:r>
        <w:rPr>
          <w:b/>
        </w:rPr>
        <w:t>Conservación digital de documentos</w:t>
      </w:r>
    </w:p>
    <w:p w14:paraId="00000025" w14:textId="77777777" w:rsidR="00737D87" w:rsidRDefault="00000000">
      <w:pPr>
        <w:spacing w:before="240" w:after="240"/>
      </w:pPr>
      <w:r>
        <w:t>El sistema debe garantizar la inalterabilidad y trazabilidad de los registros. Los documentos y facturas deben conservarse durante al menos 6 años.</w:t>
      </w:r>
    </w:p>
    <w:p w14:paraId="00000026" w14:textId="77777777" w:rsidR="00737D87" w:rsidRDefault="00000000">
      <w:pPr>
        <w:spacing w:before="240" w:after="240"/>
      </w:pPr>
      <w:r>
        <w:t xml:space="preserve">Es obligatorio bajo RGPD tener </w:t>
      </w:r>
      <w:proofErr w:type="spellStart"/>
      <w:r>
        <w:t>Backups</w:t>
      </w:r>
      <w:proofErr w:type="spellEnd"/>
      <w:r>
        <w:t xml:space="preserve"> cifrados.</w:t>
      </w:r>
      <w:r>
        <w:br/>
      </w:r>
      <w:r>
        <w:br/>
        <w:t xml:space="preserve">El sistema debe incluir un libro de registro digital de facturas exigido por la Orden </w:t>
      </w:r>
      <w:r>
        <w:rPr>
          <w:b/>
        </w:rPr>
        <w:t>HAC/424/2023</w:t>
      </w:r>
      <w:r>
        <w:t>, con capacidad de auditoría y consulta cronológica.</w:t>
      </w:r>
      <w:r>
        <w:br/>
      </w:r>
      <w:r>
        <w:br/>
      </w:r>
      <w:r>
        <w:br/>
      </w:r>
      <w:r>
        <w:br/>
      </w:r>
      <w:r>
        <w:rPr>
          <w:b/>
        </w:rPr>
        <w:t>Enviar facturas de prueba:</w:t>
      </w:r>
    </w:p>
    <w:p w14:paraId="00000027" w14:textId="77777777" w:rsidR="00737D87" w:rsidRDefault="00000000">
      <w:pPr>
        <w:spacing w:before="240" w:after="240"/>
      </w:pPr>
      <w:r>
        <w:t xml:space="preserve">Utiliza el Web </w:t>
      </w:r>
      <w:proofErr w:type="spellStart"/>
      <w:r>
        <w:t>Service</w:t>
      </w:r>
      <w:proofErr w:type="spellEnd"/>
      <w:r>
        <w:t xml:space="preserve"> SOAP de la AEAT en el entorno </w:t>
      </w:r>
      <w:proofErr w:type="spellStart"/>
      <w:r>
        <w:t>sandbox</w:t>
      </w:r>
      <w:proofErr w:type="spellEnd"/>
      <w:r>
        <w:t>.</w:t>
      </w:r>
    </w:p>
    <w:p w14:paraId="00000028" w14:textId="77777777" w:rsidR="00737D87" w:rsidRDefault="00000000">
      <w:pPr>
        <w:spacing w:before="240" w:after="240"/>
      </w:pPr>
      <w:proofErr w:type="spellStart"/>
      <w:r>
        <w:rPr>
          <w:b/>
        </w:rPr>
        <w:t>Endpoints</w:t>
      </w:r>
      <w:proofErr w:type="spellEnd"/>
      <w:r>
        <w:rPr>
          <w:b/>
        </w:rPr>
        <w:t xml:space="preserve"> de prueba:</w:t>
      </w:r>
    </w:p>
    <w:p w14:paraId="00000029" w14:textId="77777777" w:rsidR="00737D87" w:rsidRDefault="00000000">
      <w:pPr>
        <w:spacing w:before="240" w:after="240"/>
      </w:pPr>
      <w:r>
        <w:t>B2B: https://www7.aeat.es/wlpl/SSII-FACT/ws/fe/SiiFactFEV1SOAP</w:t>
      </w:r>
    </w:p>
    <w:p w14:paraId="0000002A" w14:textId="77777777" w:rsidR="00737D87" w:rsidRDefault="00000000">
      <w:pPr>
        <w:spacing w:before="240" w:after="240"/>
      </w:pPr>
      <w:r>
        <w:t>B2C: https://www7.aeat.es/wlpl/SSII-FACT/ws/fr/SiiFactFRV1SOAP</w:t>
      </w:r>
    </w:p>
    <w:p w14:paraId="0000002B" w14:textId="77777777" w:rsidR="00737D87" w:rsidRDefault="00000000">
      <w:pPr>
        <w:spacing w:before="240" w:after="240"/>
      </w:pPr>
      <w:r>
        <w:rPr>
          <w:b/>
        </w:rPr>
        <w:t>Requisitos:</w:t>
      </w:r>
    </w:p>
    <w:p w14:paraId="0000002C" w14:textId="77777777" w:rsidR="00737D87" w:rsidRDefault="00000000">
      <w:pPr>
        <w:spacing w:before="240" w:after="240"/>
      </w:pPr>
      <w:r>
        <w:t>Certificado digital (.</w:t>
      </w:r>
      <w:proofErr w:type="spellStart"/>
      <w:r>
        <w:t>pfx</w:t>
      </w:r>
      <w:proofErr w:type="spellEnd"/>
      <w:r>
        <w:t>) emitido por la FNMT.</w:t>
      </w:r>
    </w:p>
    <w:p w14:paraId="0000002D" w14:textId="77777777" w:rsidR="00737D87" w:rsidRDefault="00000000">
      <w:pPr>
        <w:spacing w:before="240" w:after="240"/>
      </w:pPr>
      <w:r>
        <w:t xml:space="preserve">Cabeceras SOAP con sellado </w:t>
      </w:r>
      <w:proofErr w:type="spellStart"/>
      <w:r>
        <w:t>XAdES</w:t>
      </w:r>
      <w:proofErr w:type="spellEnd"/>
      <w:r>
        <w:t>.</w:t>
      </w:r>
      <w:r>
        <w:br/>
      </w:r>
      <w:r>
        <w:br/>
      </w:r>
      <w:hyperlink r:id="rId13">
        <w:r w:rsidR="00737D87">
          <w:rPr>
            <w:color w:val="1155CC"/>
            <w:u w:val="single"/>
          </w:rPr>
          <w:t>https://www2.agenciatributaria.gob.es/wlpl/AVAC-CALC/InformadorVerifactu?id=4.5</w:t>
        </w:r>
      </w:hyperlink>
    </w:p>
    <w:sectPr w:rsidR="00737D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87"/>
    <w:rsid w:val="00374E63"/>
    <w:rsid w:val="00384222"/>
    <w:rsid w:val="003D0249"/>
    <w:rsid w:val="0050112D"/>
    <w:rsid w:val="00737D87"/>
    <w:rsid w:val="00A548A9"/>
    <w:rsid w:val="00AA2B7C"/>
    <w:rsid w:val="00AE2842"/>
    <w:rsid w:val="00C13CEC"/>
    <w:rsid w:val="00C14940"/>
    <w:rsid w:val="00CD3020"/>
    <w:rsid w:val="00F90718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F50A"/>
  <w15:docId w15:val="{AC771070-797D-4DA0-94F9-0727F481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derecho.com/requisitos-de-los-programas-informaticos-de-facturacion" TargetMode="External"/><Relationship Id="rId13" Type="http://schemas.openxmlformats.org/officeDocument/2006/relationships/hyperlink" Target="https://www2.agenciatributaria.gob.es/wlpl/AVAC-CALC/InformadorVerifactu?id=4.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trolgroup.es/blog/certificacion-de-software-de-facturacion" TargetMode="External"/><Relationship Id="rId12" Type="http://schemas.openxmlformats.org/officeDocument/2006/relationships/hyperlink" Target="https://sede.agenciatributaria.gob.es/Sede/iva/sistemas-informaticos-facturacion-verifactu/preguntas-frecuentes/caracteristicas-requisitos-sif-integridad-inalterabilidad.html?faqId=987377fe52572910VgnVCM100000dc381e0aRC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ede.agenciatributaria.gob.es/Sede/procedimientoini/FZ01.shtml" TargetMode="External"/><Relationship Id="rId5" Type="http://schemas.openxmlformats.org/officeDocument/2006/relationships/hyperlink" Target="https://elderecho.com/requisitos-de-los-programas-informaticos-de-facturac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prodwaregroup.com/es/perfiles/finanzas/ley-crea-y-crece-facturac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i-spain.com/articulo/requisitos-tecnicos-para-soluciones-de-factura-electronica-que-exige-el-borrador-del-decreto-ley-que-desarrolla-la-ley-crea-y-cre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1220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Kailash Saire López</cp:lastModifiedBy>
  <cp:revision>9</cp:revision>
  <dcterms:created xsi:type="dcterms:W3CDTF">2025-05-06T07:41:00Z</dcterms:created>
  <dcterms:modified xsi:type="dcterms:W3CDTF">2025-05-12T08:25:00Z</dcterms:modified>
</cp:coreProperties>
</file>