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Times New Roman" w:hAnsi="Times New Roman"/>
          <w:sz w:val="22"/>
        </w:rPr>
        <w:t>To:</w:t>
        <w:br/>
        <w:t>The Editor-in-Chief,</w:t>
        <w:br/>
        <w:t>Biomedical Signal Processing and Control (BSPC),</w:t>
        <w:br/>
        <w:t>Elsevier B.V.</w:t>
      </w:r>
    </w:p>
    <w:p>
      <w:pPr>
        <w:spacing w:after="200"/>
      </w:pPr>
      <w:r>
        <w:rPr>
          <w:rFonts w:ascii="Times New Roman" w:hAnsi="Times New Roman"/>
          <w:b/>
        </w:rPr>
        <w:t>Subject: Submission of Original Research Article — 'Forensic Dataset Reconstruction and Cross-Source Domain Shift Analysis in Multi-Class Thoracic Radiography: An Empirical Study Using DenseNet-121'</w:t>
      </w:r>
    </w:p>
    <w:p>
      <w:pPr>
        <w:spacing w:after="160" w:line="300" w:lineRule="auto"/>
      </w:pPr>
      <w:r>
        <w:t>Dear Editor-in-Chief,</w:t>
        <w:br/>
        <w:br/>
        <w:t>We are pleased to submit our original research manuscript entitled "Forensic Dataset Reconstruction and Cross-Source Domain Shift Analysis in Multi-Class Thoracic Radiography: An Empirical Study Using DenseNet-121" for consideration for publication in Biomedical Signal Processing and Control.</w:t>
        <w:br/>
        <w:br/>
        <w:t>While convolutional neural networks routinely demonstrate impressive performance on single-cohort benchmarks, translating these models into multi-center clinical practice remains hampered by shortcut learning, patient-identity leakage, and severe domain shift. In this empirical study, we present a forensically audited dataset reconstruction comprising 10,547 verified planar chest radiographs across 10,270 unique patients from eight independent clinical repositories, enforcing zero patient overlap across training, validation, and test partitions.</w:t>
        <w:br/>
        <w:br/>
        <w:t>Key highlights and contributions of this study include:</w:t>
        <w:br/>
        <w:t>1. Forensic Dataset Decontamination: Elimination of cross-modality contamination (purging axial CT slices and non-radiographic artifacts) and 83 near-duplicate pairs, establishing a rigorous leak-free multi-class benchmark.</w:t>
        <w:br/>
        <w:t>2. Transparent Reporting of Domain Shift Penalty: We candidly report that enforcing multi-source patient isolation resulted in nominal test accuracy adjusting from 78.53% to 76.18%, reflecting the dismantling of institutional shortcut cues rather than algorithmic regression.</w:t>
        <w:br/>
        <w:t>3. Quarantined External Generalization &amp; Sensor Shift: Zero-shot evaluation on the Montgomery County cohort revealed that while 100% binary abnormality sensitivity was maintained (58/58 TB cases recognized as pathological), exact disease classification suffered severe breakdown due to digitizer noise (film grain edge density, median Laplacian variance &gt;1,580 vs 373 on direct digital CXRs).</w:t>
        <w:br/>
        <w:br/>
        <w:t>This manuscript has not been published previously, is not under consideration for publication elsewhere, and its publication has been approved by all authors.</w:t>
        <w:br/>
        <w:br/>
        <w:t>We have selected the standard subscription publishing model (No Article Processing Charges / $0 APC).</w:t>
        <w:br/>
        <w:br/>
        <w:t>Thank you very much for your time and consideration of our work.</w:t>
        <w:br/>
        <w:br/>
        <w:t>Sincerely,</w:t>
        <w:br/>
        <w:br/>
        <w:t>Sathwik Katkam</w:t>
        <w:br/>
        <w:t>Department of Computer Science and Engineering,</w:t>
        <w:br/>
        <w:t>Jawaharlal Nehru Technological University Hyderabad (JNTUH),</w:t>
        <w:br/>
        <w:t>Kukatpally, Hyderabad, Telangana 500085, India</w:t>
        <w:br/>
        <w:t>Email: skatkam@jntuh.ac.in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