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60" w:after="120"/>
        <w:jc w:val="center"/>
      </w:pPr>
      <w:r>
        <w:rPr>
          <w:rFonts w:ascii="Times New Roman" w:hAnsi="Times New Roman"/>
          <w:b/>
          <w:color w:val="0B1F3A"/>
          <w:sz w:val="32"/>
        </w:rPr>
        <w:t>LUNGAI: ROBUST MULTI-CLASS LUNG DISEASE DETECTION FROM CHEST X-RAY IMAGES USING DEEP LEARNING AND CROSS-SOURCE GENERALIZATION</w:t>
      </w:r>
    </w:p>
    <w:p>
      <w:pPr>
        <w:spacing w:before="0" w:after="70" w:line="276" w:lineRule="auto"/>
        <w:jc w:val="both"/>
      </w:pPr>
      <w:r>
        <w:rPr>
          <w:rFonts w:ascii="Times New Roman" w:hAnsi="Times New Roman"/>
          <w:b w:val="0"/>
          <w:i w:val="0"/>
          <w:color w:val="1E1E1E"/>
          <w:sz w:val="24"/>
        </w:rPr>
        <w:t>A Dissertation Submitted in Partial Fulfillment of the Requirements for the Award of the Degree of</w:t>
      </w:r>
    </w:p>
    <w:p>
      <w:pPr>
        <w:spacing w:before="0" w:after="70" w:line="276" w:lineRule="auto"/>
        <w:jc w:val="both"/>
      </w:pPr>
      <w:r>
        <w:rPr>
          <w:rFonts w:ascii="Times New Roman" w:hAnsi="Times New Roman"/>
          <w:b/>
          <w:i w:val="0"/>
          <w:color w:val="0B1F3A"/>
          <w:sz w:val="24"/>
        </w:rPr>
        <w:t>MASTER OF TECHNOLOGY</w:t>
      </w:r>
    </w:p>
    <w:p>
      <w:pPr>
        <w:spacing w:before="0" w:after="70" w:line="276" w:lineRule="auto"/>
        <w:jc w:val="both"/>
      </w:pPr>
      <w:r>
        <w:rPr>
          <w:rFonts w:ascii="Times New Roman" w:hAnsi="Times New Roman"/>
          <w:b w:val="0"/>
          <w:i w:val="0"/>
          <w:color w:val="1E1E1E"/>
          <w:sz w:val="24"/>
        </w:rPr>
        <w:t>in</w:t>
      </w:r>
    </w:p>
    <w:p>
      <w:pPr>
        <w:spacing w:before="0" w:after="70" w:line="276" w:lineRule="auto"/>
        <w:jc w:val="both"/>
      </w:pPr>
      <w:r>
        <w:rPr>
          <w:rFonts w:ascii="Times New Roman" w:hAnsi="Times New Roman"/>
          <w:b/>
          <w:i w:val="0"/>
          <w:color w:val="0B1F3A"/>
          <w:sz w:val="24"/>
        </w:rPr>
        <w:t>COMPUTER SCIENCE AND ENGINEERING</w:t>
      </w:r>
    </w:p>
    <w:p>
      <w:pPr>
        <w:spacing w:before="0" w:after="70" w:line="276" w:lineRule="auto"/>
        <w:jc w:val="both"/>
      </w:pPr>
      <w:r>
        <w:rPr>
          <w:rFonts w:ascii="Times New Roman" w:hAnsi="Times New Roman"/>
          <w:b w:val="0"/>
          <w:i w:val="0"/>
          <w:color w:val="1E1E1E"/>
          <w:sz w:val="24"/>
        </w:rPr>
        <w:t>By</w:t>
      </w:r>
    </w:p>
    <w:p>
      <w:pPr>
        <w:spacing w:before="0" w:after="70" w:line="276" w:lineRule="auto"/>
        <w:jc w:val="both"/>
      </w:pPr>
      <w:r>
        <w:rPr>
          <w:rFonts w:ascii="Times New Roman" w:hAnsi="Times New Roman"/>
          <w:b/>
          <w:i w:val="0"/>
          <w:color w:val="0B1F3A"/>
          <w:sz w:val="24"/>
        </w:rPr>
        <w:t>SATHWIK KATKAM</w:t>
      </w:r>
    </w:p>
    <w:p>
      <w:pPr>
        <w:spacing w:before="0" w:after="70" w:line="276" w:lineRule="auto"/>
        <w:jc w:val="both"/>
      </w:pPr>
      <w:r>
        <w:rPr>
          <w:rFonts w:ascii="Times New Roman" w:hAnsi="Times New Roman"/>
          <w:b w:val="0"/>
          <w:i w:val="0"/>
          <w:color w:val="1E1E1E"/>
          <w:sz w:val="24"/>
        </w:rPr>
        <w:t>(Roll No: 22011D0501)</w:t>
      </w:r>
    </w:p>
    <w:p>
      <w:pPr>
        <w:spacing w:before="0" w:after="70" w:line="276" w:lineRule="auto"/>
        <w:jc w:val="both"/>
      </w:pPr>
      <w:r>
        <w:rPr>
          <w:rFonts w:ascii="Times New Roman" w:hAnsi="Times New Roman"/>
          <w:b w:val="0"/>
          <w:i w:val="0"/>
          <w:color w:val="1E1E1E"/>
          <w:sz w:val="24"/>
        </w:rPr>
        <w:t>Under the Guidance of</w:t>
      </w:r>
    </w:p>
    <w:p>
      <w:pPr>
        <w:spacing w:before="0" w:after="70" w:line="276" w:lineRule="auto"/>
        <w:jc w:val="both"/>
      </w:pPr>
      <w:r>
        <w:rPr>
          <w:rFonts w:ascii="Times New Roman" w:hAnsi="Times New Roman"/>
          <w:b/>
          <w:i w:val="0"/>
          <w:color w:val="0B1F3A"/>
          <w:sz w:val="24"/>
        </w:rPr>
        <w:t>Internal Guide</w:t>
      </w:r>
    </w:p>
    <w:p>
      <w:pPr>
        <w:spacing w:before="0" w:after="70" w:line="276" w:lineRule="auto"/>
        <w:jc w:val="both"/>
      </w:pPr>
      <w:r>
        <w:rPr>
          <w:rFonts w:ascii="Times New Roman" w:hAnsi="Times New Roman"/>
          <w:b w:val="0"/>
          <w:i w:val="0"/>
          <w:color w:val="1E1E1E"/>
          <w:sz w:val="24"/>
        </w:rPr>
        <w:t>Assistant Professor</w:t>
      </w:r>
    </w:p>
    <w:p>
      <w:pPr>
        <w:spacing w:before="0" w:after="70" w:line="276" w:lineRule="auto"/>
        <w:jc w:val="both"/>
      </w:pPr>
      <w:r>
        <w:rPr>
          <w:rFonts w:ascii="Times New Roman" w:hAnsi="Times New Roman"/>
          <w:b w:val="0"/>
          <w:i w:val="0"/>
          <w:color w:val="1E1E1E"/>
          <w:sz w:val="24"/>
        </w:rPr>
        <w:t>Department of Computer Science and Engineering</w:t>
      </w:r>
    </w:p>
    <w:p>
      <w:pPr>
        <w:spacing w:before="0" w:after="70" w:line="276" w:lineRule="auto"/>
        <w:jc w:val="both"/>
      </w:pPr>
      <w:r>
        <w:rPr>
          <w:rFonts w:ascii="Times New Roman" w:hAnsi="Times New Roman"/>
          <w:b w:val="0"/>
          <w:i w:val="0"/>
          <w:color w:val="1E1E1E"/>
          <w:sz w:val="24"/>
        </w:rPr>
        <w:t>Jawaharlal Nehru Technological University Hyderabad</w:t>
      </w:r>
    </w:p>
    <w:p>
      <w:pPr>
        <w:spacing w:before="0" w:after="70" w:line="276" w:lineRule="auto"/>
        <w:jc w:val="both"/>
      </w:pPr>
      <w:r>
        <w:rPr>
          <w:rFonts w:ascii="Times New Roman" w:hAnsi="Times New Roman"/>
          <w:b/>
          <w:i w:val="0"/>
          <w:color w:val="0B1F3A"/>
          <w:sz w:val="24"/>
        </w:rPr>
        <w:t>DEPARTMENT OF COMPUTER SCIENCE AND ENGINEERING</w:t>
      </w:r>
    </w:p>
    <w:p>
      <w:pPr>
        <w:spacing w:before="0" w:after="70" w:line="276" w:lineRule="auto"/>
        <w:jc w:val="both"/>
      </w:pPr>
      <w:r>
        <w:rPr>
          <w:rFonts w:ascii="Times New Roman" w:hAnsi="Times New Roman"/>
          <w:b/>
          <w:i w:val="0"/>
          <w:color w:val="0B1F3A"/>
          <w:sz w:val="24"/>
        </w:rPr>
        <w:t>JAWAHARLAL NEHRU TECHNOLOGICAL UNIVERSITY HYDERABAD</w:t>
      </w:r>
    </w:p>
    <w:p>
      <w:pPr>
        <w:spacing w:before="0" w:after="70" w:line="276" w:lineRule="auto"/>
        <w:jc w:val="both"/>
      </w:pPr>
      <w:r>
        <w:rPr>
          <w:rFonts w:ascii="Times New Roman" w:hAnsi="Times New Roman"/>
          <w:b w:val="0"/>
          <w:i w:val="0"/>
          <w:color w:val="1E1E1E"/>
          <w:sz w:val="24"/>
        </w:rPr>
        <w:t>Kukatpally, Hyderabad, Telangana, India — 500085</w:t>
      </w:r>
    </w:p>
    <w:p>
      <w:pPr>
        <w:spacing w:before="0" w:after="70" w:line="276" w:lineRule="auto"/>
        <w:jc w:val="both"/>
      </w:pPr>
      <w:r>
        <w:rPr>
          <w:rFonts w:ascii="Times New Roman" w:hAnsi="Times New Roman"/>
          <w:b w:val="0"/>
          <w:i w:val="0"/>
          <w:color w:val="1E1E1E"/>
          <w:sz w:val="24"/>
        </w:rPr>
        <w:t>October 2026</w:t>
      </w:r>
    </w:p>
    <w:p>
      <w:r>
        <w:br w:type="page"/>
      </w:r>
    </w:p>
    <w:p>
      <w:pPr>
        <w:pStyle w:val="Heading1"/>
        <w:keepNext/>
        <w:spacing w:before="160" w:after="120"/>
        <w:jc w:val="center"/>
      </w:pPr>
      <w:r>
        <w:rPr>
          <w:rFonts w:ascii="Times New Roman" w:hAnsi="Times New Roman"/>
          <w:b/>
          <w:color w:val="0B1F3A"/>
          <w:sz w:val="32"/>
        </w:rPr>
        <w:t>CERTIFICATE</w:t>
      </w:r>
    </w:p>
    <w:p>
      <w:pPr>
        <w:spacing w:before="0" w:after="70" w:line="276" w:lineRule="auto"/>
        <w:jc w:val="both"/>
      </w:pPr>
      <w:r>
        <w:rPr>
          <w:rFonts w:ascii="Times New Roman" w:hAnsi="Times New Roman"/>
          <w:b w:val="0"/>
          <w:i w:val="0"/>
          <w:color w:val="1E1E1E"/>
          <w:sz w:val="24"/>
        </w:rPr>
        <w:t xml:space="preserve">This is to certify that the project dissertation entitled </w:t>
      </w:r>
      <w:r>
        <w:rPr>
          <w:rFonts w:ascii="Times New Roman" w:hAnsi="Times New Roman"/>
          <w:b/>
          <w:i w:val="0"/>
          <w:color w:val="0B1F3A"/>
          <w:sz w:val="24"/>
        </w:rPr>
        <w:t>"LUNGAI: ROBUST MULTI-CLASS LUNG DISEASE DETECTION FROM CHEST X-RAY IMAGES USING DEEP LEARNING AND CROSS-SOURCE GENERALIZATION"</w:t>
      </w:r>
      <w:r>
        <w:rPr>
          <w:rFonts w:ascii="Times New Roman" w:hAnsi="Times New Roman"/>
          <w:b w:val="0"/>
          <w:i w:val="0"/>
          <w:color w:val="1E1E1E"/>
          <w:sz w:val="24"/>
        </w:rPr>
        <w:t xml:space="preserve">, submitted by </w:t>
      </w:r>
      <w:r>
        <w:rPr>
          <w:rFonts w:ascii="Times New Roman" w:hAnsi="Times New Roman"/>
          <w:b/>
          <w:i w:val="0"/>
          <w:color w:val="0B1F3A"/>
          <w:sz w:val="24"/>
        </w:rPr>
        <w:t>SATHWIK KATKAM</w:t>
      </w:r>
      <w:r>
        <w:rPr>
          <w:rFonts w:ascii="Times New Roman" w:hAnsi="Times New Roman"/>
          <w:b w:val="0"/>
          <w:i w:val="0"/>
          <w:color w:val="1E1E1E"/>
          <w:sz w:val="24"/>
        </w:rPr>
        <w:t xml:space="preserve"> (Roll No: 22011D0501) in partial fulfillment of the requirements for the award of the degree of </w:t>
      </w:r>
      <w:r>
        <w:rPr>
          <w:rFonts w:ascii="Times New Roman" w:hAnsi="Times New Roman"/>
          <w:b/>
          <w:i w:val="0"/>
          <w:color w:val="0B1F3A"/>
          <w:sz w:val="24"/>
        </w:rPr>
        <w:t>MASTER OF TECHNOLOGY in COMPUTER SCIENCE AND ENGINEERING</w:t>
      </w:r>
      <w:r>
        <w:rPr>
          <w:rFonts w:ascii="Times New Roman" w:hAnsi="Times New Roman"/>
          <w:b w:val="0"/>
          <w:i w:val="0"/>
          <w:color w:val="1E1E1E"/>
          <w:sz w:val="24"/>
        </w:rPr>
        <w:t xml:space="preserve"> from </w:t>
      </w:r>
      <w:r>
        <w:rPr>
          <w:rFonts w:ascii="Times New Roman" w:hAnsi="Times New Roman"/>
          <w:b/>
          <w:i w:val="0"/>
          <w:color w:val="0B1F3A"/>
          <w:sz w:val="24"/>
        </w:rPr>
        <w:t>JAWAHARLAL NEHRU TECHNOLOGICAL UNIVERSITY HYDERABAD</w:t>
      </w:r>
      <w:r>
        <w:rPr>
          <w:rFonts w:ascii="Times New Roman" w:hAnsi="Times New Roman"/>
          <w:b w:val="0"/>
          <w:i w:val="0"/>
          <w:color w:val="1E1E1E"/>
          <w:sz w:val="24"/>
        </w:rPr>
        <w:t>, is an authentic record of original research and engineering work carried out under academic supervision and guidance during the academic year 2025–2026.</w:t>
      </w:r>
    </w:p>
    <w:p>
      <w:pPr>
        <w:spacing w:before="0" w:after="70" w:line="276" w:lineRule="auto"/>
        <w:jc w:val="both"/>
      </w:pPr>
      <w:r>
        <w:rPr>
          <w:rFonts w:ascii="Times New Roman" w:hAnsi="Times New Roman"/>
          <w:b w:val="0"/>
          <w:i w:val="0"/>
          <w:color w:val="1E1E1E"/>
          <w:sz w:val="24"/>
        </w:rPr>
        <w:t>The results and conclusions embodied in this dissertation have reached a verified, reproducible, and frozen state and have not been submitted to any other university or institute for the award of any degree, diploma, or fellowship. All secondary datasets, clinical benchmarks, and open-source scientific software libraries have been explicitly acknowledged.</w:t>
      </w:r>
    </w:p>
    <w:p>
      <w:pPr>
        <w:spacing w:before="80" w:after="80"/>
      </w:pPr>
    </w:p>
    <w:p>
      <w:pPr>
        <w:spacing w:before="80" w:after="80"/>
      </w:pPr>
    </w:p>
    <w:p>
      <w:pPr>
        <w:spacing w:before="80" w:after="80"/>
      </w:pPr>
    </w:p>
    <w:p>
      <w:pPr>
        <w:spacing w:before="0" w:after="70" w:line="276" w:lineRule="auto"/>
        <w:jc w:val="both"/>
      </w:pPr>
      <w:r>
        <w:rPr>
          <w:rFonts w:ascii="Times New Roman" w:hAnsi="Times New Roman"/>
          <w:b/>
          <w:i w:val="0"/>
          <w:color w:val="0B1F3A"/>
          <w:sz w:val="24"/>
        </w:rPr>
        <w:t>Internal Guide</w:t>
      </w:r>
    </w:p>
    <w:p>
      <w:pPr>
        <w:spacing w:before="0" w:after="70" w:line="276" w:lineRule="auto"/>
        <w:jc w:val="both"/>
      </w:pPr>
      <w:r>
        <w:rPr>
          <w:rFonts w:ascii="Times New Roman" w:hAnsi="Times New Roman"/>
          <w:b w:val="0"/>
          <w:i w:val="0"/>
          <w:color w:val="1E1E1E"/>
          <w:sz w:val="24"/>
        </w:rPr>
        <w:t>Assistant Professor, Department of Computer Science and Engineering</w:t>
      </w:r>
    </w:p>
    <w:p>
      <w:pPr>
        <w:spacing w:before="0" w:after="70" w:line="276" w:lineRule="auto"/>
        <w:jc w:val="both"/>
      </w:pPr>
      <w:r>
        <w:rPr>
          <w:rFonts w:ascii="Times New Roman" w:hAnsi="Times New Roman"/>
          <w:b w:val="0"/>
          <w:i w:val="0"/>
          <w:color w:val="1E1E1E"/>
          <w:sz w:val="24"/>
        </w:rPr>
        <w:t>Jawaharlal Nehru Technological University Hyderabad</w:t>
      </w:r>
    </w:p>
    <w:p>
      <w:pPr>
        <w:spacing w:before="0" w:after="70" w:line="276" w:lineRule="auto"/>
        <w:jc w:val="both"/>
      </w:pPr>
      <w:r>
        <w:rPr>
          <w:rFonts w:ascii="Times New Roman" w:hAnsi="Times New Roman"/>
          <w:b w:val="0"/>
          <w:i w:val="0"/>
          <w:color w:val="1E1E1E"/>
          <w:sz w:val="24"/>
        </w:rPr>
        <w:t>Kukatpally, Hyderabad, Telangana — 500085</w:t>
      </w:r>
    </w:p>
    <w:p>
      <w:pPr>
        <w:spacing w:before="80" w:after="80"/>
      </w:pPr>
    </w:p>
    <w:p>
      <w:pPr>
        <w:spacing w:before="80" w:after="80"/>
      </w:pPr>
    </w:p>
    <w:p>
      <w:pPr>
        <w:spacing w:before="80" w:after="80"/>
      </w:pPr>
    </w:p>
    <w:p>
      <w:pPr>
        <w:spacing w:before="0" w:after="70" w:line="276" w:lineRule="auto"/>
        <w:jc w:val="both"/>
      </w:pPr>
      <w:r>
        <w:rPr>
          <w:rFonts w:ascii="Times New Roman" w:hAnsi="Times New Roman"/>
          <w:b/>
          <w:i w:val="0"/>
          <w:color w:val="0B1F3A"/>
          <w:sz w:val="24"/>
        </w:rPr>
        <w:t>Head of the Department</w:t>
      </w:r>
    </w:p>
    <w:p>
      <w:pPr>
        <w:spacing w:before="0" w:after="70" w:line="276" w:lineRule="auto"/>
        <w:jc w:val="both"/>
      </w:pPr>
      <w:r>
        <w:rPr>
          <w:rFonts w:ascii="Times New Roman" w:hAnsi="Times New Roman"/>
          <w:b w:val="0"/>
          <w:i w:val="0"/>
          <w:color w:val="1E1E1E"/>
          <w:sz w:val="24"/>
        </w:rPr>
        <w:t>Department of Computer Science and Engineering</w:t>
      </w:r>
    </w:p>
    <w:p>
      <w:pPr>
        <w:spacing w:before="0" w:after="70" w:line="276" w:lineRule="auto"/>
        <w:jc w:val="both"/>
      </w:pPr>
      <w:r>
        <w:rPr>
          <w:rFonts w:ascii="Times New Roman" w:hAnsi="Times New Roman"/>
          <w:b w:val="0"/>
          <w:i w:val="0"/>
          <w:color w:val="1E1E1E"/>
          <w:sz w:val="24"/>
        </w:rPr>
        <w:t>Jawaharlal Nehru Technological University Hyderabad</w:t>
      </w:r>
    </w:p>
    <w:p>
      <w:pPr>
        <w:spacing w:before="0" w:after="70" w:line="276" w:lineRule="auto"/>
        <w:jc w:val="both"/>
      </w:pPr>
      <w:r>
        <w:rPr>
          <w:rFonts w:ascii="Times New Roman" w:hAnsi="Times New Roman"/>
          <w:b w:val="0"/>
          <w:i w:val="0"/>
          <w:color w:val="1E1E1E"/>
          <w:sz w:val="24"/>
        </w:rPr>
        <w:t>Kukatpally, Hyderabad, Telangana — 500085</w:t>
      </w:r>
    </w:p>
    <w:p>
      <w:r>
        <w:br w:type="page"/>
      </w:r>
    </w:p>
    <w:p>
      <w:pPr>
        <w:pStyle w:val="Heading1"/>
        <w:keepNext/>
        <w:spacing w:before="160" w:after="120"/>
        <w:jc w:val="center"/>
      </w:pPr>
      <w:r>
        <w:rPr>
          <w:rFonts w:ascii="Times New Roman" w:hAnsi="Times New Roman"/>
          <w:b/>
          <w:color w:val="0B1F3A"/>
          <w:sz w:val="32"/>
        </w:rPr>
        <w:t>DECLARATION</w:t>
      </w:r>
    </w:p>
    <w:p>
      <w:pPr>
        <w:spacing w:before="0" w:after="70" w:line="276" w:lineRule="auto"/>
        <w:jc w:val="both"/>
      </w:pPr>
      <w:r>
        <w:rPr>
          <w:rFonts w:ascii="Times New Roman" w:hAnsi="Times New Roman"/>
          <w:b w:val="0"/>
          <w:i w:val="0"/>
          <w:color w:val="1E1E1E"/>
          <w:sz w:val="24"/>
        </w:rPr>
        <w:t xml:space="preserve">I hereby declare that the project dissertation entitled </w:t>
      </w:r>
      <w:r>
        <w:rPr>
          <w:rFonts w:ascii="Times New Roman" w:hAnsi="Times New Roman"/>
          <w:b/>
          <w:i w:val="0"/>
          <w:color w:val="0B1F3A"/>
          <w:sz w:val="24"/>
        </w:rPr>
        <w:t>"LUNGAI: ROBUST MULTI-CLASS LUNG DISEASE DETECTION FROM CHEST X-RAY IMAGES USING DEEP LEARNING AND CROSS-SOURCE GENERALIZATION"</w:t>
      </w:r>
      <w:r>
        <w:rPr>
          <w:rFonts w:ascii="Times New Roman" w:hAnsi="Times New Roman"/>
          <w:b w:val="0"/>
          <w:i w:val="0"/>
          <w:color w:val="1E1E1E"/>
          <w:sz w:val="24"/>
        </w:rPr>
        <w:t xml:space="preserve"> is an authentic record of my own research and engineering work carried out in the </w:t>
      </w:r>
      <w:r>
        <w:rPr>
          <w:rFonts w:ascii="Times New Roman" w:hAnsi="Times New Roman"/>
          <w:b/>
          <w:i w:val="0"/>
          <w:color w:val="0B1F3A"/>
          <w:sz w:val="24"/>
        </w:rPr>
        <w:t>DEPARTMENT OF COMPUTER SCIENCE AND ENGINEERING, JAWAHARLAL NEHRU TECHNOLOGICAL UNIVERSITY HYDERABAD</w:t>
      </w:r>
      <w:r>
        <w:rPr>
          <w:rFonts w:ascii="Times New Roman" w:hAnsi="Times New Roman"/>
          <w:b w:val="0"/>
          <w:i w:val="0"/>
          <w:color w:val="1E1E1E"/>
          <w:sz w:val="24"/>
        </w:rPr>
        <w:t>, under the supervision of Internal Guide, Assistant Professor.</w:t>
      </w:r>
    </w:p>
    <w:p>
      <w:pPr>
        <w:spacing w:before="0" w:after="70" w:line="276" w:lineRule="auto"/>
        <w:jc w:val="both"/>
      </w:pPr>
      <w:r>
        <w:rPr>
          <w:rFonts w:ascii="Times New Roman" w:hAnsi="Times New Roman"/>
          <w:b w:val="0"/>
          <w:i w:val="0"/>
          <w:color w:val="1E1E1E"/>
          <w:sz w:val="24"/>
        </w:rPr>
        <w:t>I further declare that this dissertation has not been submitted previously, in part or in full, to any other institution or university for the award of any academic degree or diploma. I have adhered to all academic ethics and anti-plagiarism standards; all empirical findings, architectural formulations, and source-held-out evaluations reported herein represent genuine scientific investigations.</w:t>
      </w:r>
    </w:p>
    <w:p>
      <w:pPr>
        <w:spacing w:before="80" w:after="80"/>
      </w:pPr>
    </w:p>
    <w:p>
      <w:pPr>
        <w:spacing w:before="80" w:after="80"/>
      </w:pPr>
    </w:p>
    <w:p>
      <w:pPr>
        <w:spacing w:before="80" w:after="80"/>
      </w:pPr>
    </w:p>
    <w:p>
      <w:pPr>
        <w:spacing w:before="0" w:after="70" w:line="276" w:lineRule="auto"/>
        <w:jc w:val="both"/>
      </w:pPr>
      <w:r>
        <w:rPr>
          <w:rFonts w:ascii="Times New Roman" w:hAnsi="Times New Roman"/>
          <w:b/>
          <w:i w:val="0"/>
          <w:color w:val="0B1F3A"/>
          <w:sz w:val="24"/>
        </w:rPr>
        <w:t>SATHWIK KATKAM</w:t>
      </w:r>
    </w:p>
    <w:p>
      <w:pPr>
        <w:spacing w:before="0" w:after="70" w:line="276" w:lineRule="auto"/>
        <w:jc w:val="both"/>
      </w:pPr>
      <w:r>
        <w:rPr>
          <w:rFonts w:ascii="Times New Roman" w:hAnsi="Times New Roman"/>
          <w:b w:val="0"/>
          <w:i w:val="0"/>
          <w:color w:val="1E1E1E"/>
          <w:sz w:val="24"/>
        </w:rPr>
        <w:t>Roll No: 22011D0501</w:t>
      </w:r>
    </w:p>
    <w:p>
      <w:pPr>
        <w:spacing w:before="0" w:after="70" w:line="276" w:lineRule="auto"/>
        <w:jc w:val="both"/>
      </w:pPr>
      <w:r>
        <w:rPr>
          <w:rFonts w:ascii="Times New Roman" w:hAnsi="Times New Roman"/>
          <w:b w:val="0"/>
          <w:i w:val="0"/>
          <w:color w:val="1E1E1E"/>
          <w:sz w:val="24"/>
        </w:rPr>
        <w:t>M.Tech (Computer Science and Engineering)</w:t>
      </w:r>
    </w:p>
    <w:p>
      <w:pPr>
        <w:spacing w:before="0" w:after="70" w:line="276" w:lineRule="auto"/>
        <w:jc w:val="both"/>
      </w:pPr>
      <w:r>
        <w:rPr>
          <w:rFonts w:ascii="Times New Roman" w:hAnsi="Times New Roman"/>
          <w:b w:val="0"/>
          <w:i w:val="0"/>
          <w:color w:val="1E1E1E"/>
          <w:sz w:val="24"/>
        </w:rPr>
        <w:t>Department of Computer Science and Engineering</w:t>
      </w:r>
    </w:p>
    <w:p>
      <w:pPr>
        <w:spacing w:before="0" w:after="70" w:line="276" w:lineRule="auto"/>
        <w:jc w:val="both"/>
      </w:pPr>
      <w:r>
        <w:rPr>
          <w:rFonts w:ascii="Times New Roman" w:hAnsi="Times New Roman"/>
          <w:b w:val="0"/>
          <w:i w:val="0"/>
          <w:color w:val="1E1E1E"/>
          <w:sz w:val="24"/>
        </w:rPr>
        <w:t>Jawaharlal Nehru Technological University Hyderabad</w:t>
      </w:r>
    </w:p>
    <w:p>
      <w:r>
        <w:br w:type="page"/>
      </w:r>
    </w:p>
    <w:p>
      <w:pPr>
        <w:pStyle w:val="Heading1"/>
        <w:keepNext/>
        <w:spacing w:before="160" w:after="120"/>
        <w:jc w:val="center"/>
      </w:pPr>
      <w:r>
        <w:rPr>
          <w:rFonts w:ascii="Times New Roman" w:hAnsi="Times New Roman"/>
          <w:b/>
          <w:color w:val="0B1F3A"/>
          <w:sz w:val="32"/>
        </w:rPr>
        <w:t>ACKNOWLEDGEMENT</w:t>
      </w:r>
    </w:p>
    <w:p>
      <w:pPr>
        <w:spacing w:before="0" w:after="70" w:line="276" w:lineRule="auto"/>
        <w:jc w:val="both"/>
      </w:pPr>
      <w:r>
        <w:rPr>
          <w:rFonts w:ascii="Times New Roman" w:hAnsi="Times New Roman"/>
          <w:b w:val="0"/>
          <w:i w:val="0"/>
          <w:color w:val="1E1E1E"/>
          <w:sz w:val="24"/>
        </w:rPr>
        <w:t>I express my profound gratitude and sincere appreciation to my project supervisor, Internal Guide, Assistant Professor, for invaluable intellectual guidance, continuous encouragement, and rigorous scientific feedback throughout the conception, mathematical formulation, forensic dataset auditing, and software realization of this M.Tech dissertation.</w:t>
      </w:r>
    </w:p>
    <w:p>
      <w:pPr>
        <w:spacing w:before="0" w:after="70" w:line="276" w:lineRule="auto"/>
        <w:jc w:val="both"/>
      </w:pPr>
      <w:r>
        <w:rPr>
          <w:rFonts w:ascii="Times New Roman" w:hAnsi="Times New Roman"/>
          <w:b w:val="0"/>
          <w:i w:val="0"/>
          <w:color w:val="1E1E1E"/>
          <w:sz w:val="24"/>
        </w:rPr>
        <w:t>I extend my heartfelt thanks to the Head of the Department, Professor &amp; Head, and the esteemed faculty members of the Department of Computer Science and Engineering for providing the high-performance computing infrastructure, GPU cluster access, and stimulating research environment indispensable for executing multi-source deep learning experiments.</w:t>
      </w:r>
    </w:p>
    <w:p>
      <w:pPr>
        <w:spacing w:before="0" w:after="70" w:line="276" w:lineRule="auto"/>
        <w:jc w:val="both"/>
      </w:pPr>
      <w:r>
        <w:rPr>
          <w:rFonts w:ascii="Times New Roman" w:hAnsi="Times New Roman"/>
          <w:b w:val="0"/>
          <w:i w:val="0"/>
          <w:color w:val="1E1E1E"/>
          <w:sz w:val="24"/>
        </w:rPr>
        <w:t>I gratefully acknowledge the curators and medical contributors of the open-access medical imaging databases—specifically the NIH Clinical Center (ChestX-ray14), VinBigData (VinDr-CXR), the Chinese University of Hong Kong (TBX11K), the Japanese Society of Radiological Technology (JSRT), the U.S. National Library of Medicine (Montgomery County benchmark), and the research groups of Chowdhury et al., Rahman et al., and Kermany et al.—whose public datasets enabled this empirical investigation.</w:t>
      </w:r>
    </w:p>
    <w:p>
      <w:pPr>
        <w:spacing w:before="0" w:after="70" w:line="276" w:lineRule="auto"/>
        <w:jc w:val="both"/>
      </w:pPr>
      <w:r>
        <w:rPr>
          <w:rFonts w:ascii="Times New Roman" w:hAnsi="Times New Roman"/>
          <w:b w:val="0"/>
          <w:i w:val="0"/>
          <w:color w:val="1E1E1E"/>
          <w:sz w:val="24"/>
        </w:rPr>
        <w:t>Finally, I express my deepest gratitude to my parents, family, and colleagues for their constant encouragement, patience, and unwavering moral support throughout my academic tenure.</w:t>
      </w:r>
    </w:p>
    <w:p>
      <w:r>
        <w:br w:type="page"/>
      </w:r>
    </w:p>
    <w:p>
      <w:pPr>
        <w:pStyle w:val="Heading1"/>
        <w:keepNext/>
        <w:spacing w:before="160" w:after="120"/>
        <w:jc w:val="center"/>
      </w:pPr>
      <w:r>
        <w:rPr>
          <w:rFonts w:ascii="Times New Roman" w:hAnsi="Times New Roman"/>
          <w:b/>
          <w:color w:val="0B1F3A"/>
          <w:sz w:val="32"/>
        </w:rPr>
        <w:t>ABSTRACT</w:t>
      </w:r>
    </w:p>
    <w:p>
      <w:pPr>
        <w:spacing w:before="0" w:after="70" w:line="276" w:lineRule="auto"/>
        <w:jc w:val="both"/>
      </w:pPr>
      <w:r>
        <w:rPr>
          <w:rFonts w:ascii="Times New Roman" w:hAnsi="Times New Roman"/>
          <w:b w:val="0"/>
          <w:i w:val="0"/>
          <w:color w:val="1E1E1E"/>
          <w:sz w:val="24"/>
        </w:rPr>
        <w:t>Deep convolutional neural networks achieve radiologist-level diagnostic performance on chest radiographs under single-institution benchmarks, but suffer severe performance collapse when deployed across external hospital networks due to acquisition domain shift. In this dissertation, we examine whether a multi-source six-class chest X-ray classifier can learn domain-invariant representations that generalize across independent hospital sources, and whether domain generalization frameworks improve diagnostic stability compared to standard Empirical Risk Minimization (ERM).</w:t>
      </w:r>
    </w:p>
    <w:p>
      <w:pPr>
        <w:spacing w:before="0" w:after="70" w:line="276" w:lineRule="auto"/>
        <w:jc w:val="both"/>
      </w:pPr>
      <w:r>
        <w:rPr>
          <w:rFonts w:ascii="Times New Roman" w:hAnsi="Times New Roman"/>
          <w:b w:val="0"/>
          <w:i w:val="0"/>
          <w:color w:val="1E1E1E"/>
          <w:sz w:val="24"/>
        </w:rPr>
        <w:t>We first conduct a rigorous forensic audit of public chest radiography collections, discovering pervasive cross-modality contamination (axial computed tomography slices) and extreme acquisition-site confounding across pathological findings (Cramér's V = 0.7654). To establish an uncompromised benchmark, we reconstruct the Unified V5 Research Dataset comprising 10,547 verified planar radiographs from 10,270 unique patients across eight international sources, partitioned at the strict patient level (Train: 7,398 images / 7,189 patients; Validation: 1,579 images / 1,540 patients; Test: 1,570 images / 1,541 patients) across six clinical classes: COVID-19, Normal, Pleural Effusion, Pneumonia, Pulmonary Nodule / Mass, and Tuberculosis.</w:t>
      </w:r>
    </w:p>
    <w:p>
      <w:pPr>
        <w:spacing w:before="0" w:after="70" w:line="276" w:lineRule="auto"/>
        <w:jc w:val="both"/>
      </w:pPr>
      <w:r>
        <w:rPr>
          <w:rFonts w:ascii="Times New Roman" w:hAnsi="Times New Roman"/>
          <w:b w:val="0"/>
          <w:i w:val="0"/>
          <w:color w:val="1E1E1E"/>
          <w:sz w:val="24"/>
        </w:rPr>
        <w:t>Using this benchmark, we evaluate five controlled training and preprocessing paradigms using a common DenseNet-121 backbone: ERM DenseNet-121 Baseline (76.18% accuracy, 72.63% macro F1), CORAL-Enhanced DenseNet-121 (80.89% accuracy, 76.85% macro F1), DANN DenseNet-121 (76.24% accuracy, 72.99% macro F1), Frequency-Aware DenseNet-121 (internally designated Model D; 82.93% accuracy, 78.35% macro F1, 0.9755 macro ROC-AUC, 0.8391 macro PR-AUC), and a Hybrid Frequency + CORAL DenseNet-121 framework (78.22% accuracy, 73.95% macro F1). The final Frequency-Aware DenseNet-121 configuration (Model D)—employing CLAHE enhancement and Gaussian low-pass spatial filtering (</w:t>
      </w:r>
      <w:r>
        <w:rPr>
          <w:rFonts w:ascii="Times New Roman" w:hAnsi="Times New Roman"/>
          <w:b w:val="0"/>
          <w:i/>
          <w:color w:val="1E1E1E"/>
          <w:sz w:val="24"/>
        </w:rPr>
        <w:t>\sigma = 1.0</w:t>
      </w:r>
      <w:r>
        <w:rPr>
          <w:rFonts w:ascii="Times New Roman" w:hAnsi="Times New Roman"/>
          <w:b w:val="0"/>
          <w:i w:val="0"/>
          <w:color w:val="1E1E1E"/>
          <w:sz w:val="24"/>
        </w:rPr>
        <w:t>)—achieved the highest performance among the five evaluated paradigms on the frozen V5 internal test set, with per-class F1-scores of 97.01% for COVID-19, 89.58% for Normal, 88.66% for Tuberculosis, and 86.49% for Pneumonia.</w:t>
      </w:r>
    </w:p>
    <w:p>
      <w:pPr>
        <w:spacing w:before="0" w:after="70" w:line="276" w:lineRule="auto"/>
        <w:jc w:val="both"/>
      </w:pPr>
      <w:r>
        <w:rPr>
          <w:rFonts w:ascii="Times New Roman" w:hAnsi="Times New Roman"/>
          <w:b w:val="0"/>
          <w:i w:val="0"/>
          <w:color w:val="1E1E1E"/>
          <w:sz w:val="24"/>
        </w:rPr>
        <w:t>External zero-shot evaluation on the quarantined Montgomery County benchmark (</w:t>
      </w:r>
      <w:r>
        <w:rPr>
          <w:rFonts w:ascii="Times New Roman" w:hAnsi="Times New Roman"/>
          <w:b w:val="0"/>
          <w:i/>
          <w:color w:val="1E1E1E"/>
          <w:sz w:val="24"/>
        </w:rPr>
        <w:t>n = 138</w:t>
      </w:r>
      <w:r>
        <w:rPr>
          <w:rFonts w:ascii="Times New Roman" w:hAnsi="Times New Roman"/>
          <w:b w:val="0"/>
          <w:i w:val="0"/>
          <w:color w:val="1E1E1E"/>
          <w:sz w:val="24"/>
        </w:rPr>
        <w:t xml:space="preserve">) revealed that while Frequency-Aware DenseNet-121 retained 100% binary abnormal sensitivity (58 / 58), fine-grained multi-class separation collapsed: Pulmonary Nodule / Mass was the predominant predicted class, accounting for 130 of 138 cases (94.20%), with the remaining 8 cases classified as Pleural Effusion (5.80%), and no case classified as Tuberculosis or Normal. The Montgomery evaluation revealed substantial source-dependent differences in image characteristics, including resolution, intensity/dynamic-range characteristics, and high-frequency image structure, that were associated with the observed external-domain classification failure; no single physical factor was established as the sole causal mechanism. To protect downstream inference from non-radiographic contamination, we implement a Two-Stage CXR Validation Gate combining biophysical heuristics with a deep anatomical classifier operating at selected production threshold </w:t>
      </w:r>
      <w:r>
        <w:rPr>
          <w:rFonts w:ascii="Times New Roman" w:hAnsi="Times New Roman"/>
          <w:b w:val="0"/>
          <w:i/>
          <w:color w:val="1E1E1E"/>
          <w:sz w:val="24"/>
        </w:rPr>
        <w:tab/>
        <w:t>au = 0.83</w:t>
      </w:r>
      <w:r>
        <w:rPr>
          <w:rFonts w:ascii="Times New Roman" w:hAnsi="Times New Roman"/>
          <w:b w:val="0"/>
          <w:i w:val="0"/>
          <w:color w:val="1E1E1E"/>
          <w:sz w:val="24"/>
        </w:rPr>
        <w:t>, achieving 100% specificity in rejecting out-of-distribution photographs and axial CT scans on a 125-image verification cohort (noting that the threshold was selected on this same cohort). The diagnostic ecosystem is engineered as an asynchronous full-stack decision-support prototype (FastAPI, React 18, SQLite) featuring real-time Grad-CAM explainability, verified by 44 passing automated software tests.</w:t>
      </w:r>
    </w:p>
    <w:p>
      <w:pPr>
        <w:spacing w:before="0" w:after="70" w:line="276" w:lineRule="auto"/>
        <w:jc w:val="both"/>
      </w:pPr>
      <w:r>
        <w:rPr>
          <w:rFonts w:ascii="Times New Roman" w:hAnsi="Times New Roman"/>
          <w:b/>
          <w:i w:val="0"/>
          <w:color w:val="0B1F3A"/>
          <w:sz w:val="24"/>
        </w:rPr>
        <w:t>Keywords:</w:t>
      </w:r>
      <w:r>
        <w:rPr>
          <w:rFonts w:ascii="Times New Roman" w:hAnsi="Times New Roman"/>
          <w:b w:val="0"/>
          <w:i w:val="0"/>
          <w:color w:val="1E1E1E"/>
          <w:sz w:val="24"/>
        </w:rPr>
        <w:t xml:space="preserve"> Chest Radiography, Deep Learning, DenseNet-121, Domain Generalization, Frequency Preprocessing, Grad-CAM, Cross-Source Generalization, Shortcut Learning, Clinical Decision Support.</w:t>
      </w:r>
    </w:p>
    <w:p>
      <w:r>
        <w:br w:type="page"/>
      </w:r>
    </w:p>
    <w:p>
      <w:pPr>
        <w:pStyle w:val="Heading1"/>
        <w:keepNext/>
        <w:spacing w:before="160" w:after="120"/>
        <w:jc w:val="center"/>
      </w:pPr>
      <w:r>
        <w:rPr>
          <w:rFonts w:ascii="Times New Roman" w:hAnsi="Times New Roman"/>
          <w:b/>
          <w:color w:val="0B1F3A"/>
          <w:sz w:val="32"/>
        </w:rPr>
        <w:t>TABLE OF CONTENTS</w:t>
      </w:r>
    </w:p>
    <w:tbl>
      <w:tblPr>
        <w:tblW w:type="auto" w:w="0"/>
        <w:jc w:val="center"/>
        <w:tblLook w:firstColumn="1" w:firstRow="1" w:lastColumn="0" w:lastRow="0" w:noHBand="0" w:noVBand="1" w:val="04A0"/>
        <w:tblBorders>
          <w:top w:val="single" w:sz="6" w:space="0" w:color="0B1F3A"/>
          <w:bottom w:val="single" w:sz="6" w:space="0" w:color="0B1F3A"/>
          <w:insideH w:val="none"/>
          <w:insideV w:val="none"/>
          <w:left w:val="none"/>
          <w:right w:val="none"/>
        </w:tblBorders>
      </w:tblPr>
      <w:tblGrid>
        <w:gridCol w:w="4680"/>
        <w:gridCol w:w="4680"/>
      </w:tblGrid>
      <w:tr>
        <w:trPr>
          <w:cantSplit/>
          <w:tblHeader/>
        </w:trPr>
        <w:tc>
          <w:tcPr>
            <w:tcW w:type="dxa" w:w="8280"/>
            <w:vAlign w:val="center"/>
            <w:tcMar>
              <w:top w:w="30" w:type="dxa"/>
              <w:bottom w:w="30" w:type="dxa"/>
              <w:left w:w="45" w:type="dxa"/>
              <w:right w:w="45" w:type="dxa"/>
            </w:tcMar>
            <w:shd w:fill="F2F6FB"/>
          </w:tcPr>
          <w:p>
            <w:pPr>
              <w:spacing w:before="0" w:after="0" w:line="220" w:lineRule="auto"/>
              <w:jc w:val="left"/>
            </w:pPr>
            <w:r>
              <w:rPr>
                <w:rFonts w:ascii="Times New Roman" w:hAnsi="Times New Roman"/>
                <w:b/>
                <w:color w:val="0B1F3A"/>
                <w:sz w:val="20"/>
              </w:rPr>
              <w:t>Section / Content Heading</w:t>
            </w:r>
          </w:p>
        </w:tc>
        <w:tc>
          <w:tcPr>
            <w:tcW w:type="dxa" w:w="1080"/>
            <w:vAlign w:val="center"/>
            <w:tcMar>
              <w:top w:w="30" w:type="dxa"/>
              <w:bottom w:w="30" w:type="dxa"/>
              <w:left w:w="45" w:type="dxa"/>
              <w:right w:w="45" w:type="dxa"/>
            </w:tcMar>
            <w:shd w:fill="F2F6FB"/>
          </w:tcPr>
          <w:p>
            <w:pPr>
              <w:spacing w:before="0" w:after="0" w:line="220" w:lineRule="auto"/>
              <w:jc w:val="right"/>
            </w:pPr>
            <w:r>
              <w:rPr>
                <w:rFonts w:ascii="Times New Roman" w:hAnsi="Times New Roman"/>
                <w:b/>
                <w:color w:val="0B1F3A"/>
                <w:sz w:val="20"/>
              </w:rPr>
              <w:t>Page</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Title Page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Certificate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Declaration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Acknowledgement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Abstract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Table of Contents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List of Figures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List of Tables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Abbreviations / Acronyms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 – INTRODUCTION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15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1.1 Clinical Background &amp; Problem Domain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 Radiographic Imaging Principles &amp; Diagnostic Role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1.3 Workflow Challenges in Conventional Radiology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1.4 Problem Statement &amp; Research Question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1.5 Research Objectives &amp; Project Scope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1.6 Thesis Contributions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1.7 Thesis Organization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18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2 – LITERATURE SURVEY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20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2.1 Deep Learning in Thoracic Radiography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2.2 Convolutional Neural Network Backbones: ResNet vs. DenseNet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2.3 Visual Explainability &amp; Gradient-Weighted Class Activation Mapping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2.4 Domain Shift, Confounding &amp; Shortcut Learning in Medical AI</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2.5 Domain Generalization Frameworks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2.6 Critical Analysis and Research Gap Identification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3 – EXISTING SYSTEM</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25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3.1 Overview of Conventional Chest Radiography Workflows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3.2 Limitations of Commercial and Open-Source CAD Solutions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3.3 The Cross-Source Generalization Bottleneck</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3.4 Summary of Gaps in Existing Practice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4 – PROPOSED SYSTEM</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27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4.1 System Overview and Architectural Philosophy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4.2 End-to-End Diagnostic Pipeline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4.3 High-Level System Architecture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4.4 Key Novelties and Design Distinctions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5 – SYSTEM REQUIREMENTS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30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5.1 Hardware Requirements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5.2 Software Requirements &amp; Runtime Environment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5.3 Functional Requirements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5.4 Non-Functional Requirements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6 – SYSTEM DESIGN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34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6.1 Architectural Design Principles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6.2 Data Flow Modeling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6.3 UML Structural Modeling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6.4 UML Behavioral Modeling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6.5 Database Design &amp; Entity Relationship Modeling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7 – DATASET AND DATA PREPROCESSING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40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7.1 Forensic Audit of Public Benchmarks &amp; Artifact Discovery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7.2 The Unified V5 Research Dataset Reconstruction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7.3 Multi-Source Training Pipeline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7.4 Acquisition-Site Confounding Analysis (Cramér's V = 0.7654)</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7.5 Planar CXR Verification &amp; CT Elimination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7.6 Patient-Level Leak-Free Data Partitioning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8 – MACHINE LEARNING / AI MODEL</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43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8.1 Frequency-Aware DenseNet-121 Architecture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8.2 Deterministic Biophysical Preprocessing Pipeline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8.3 Controlled Multi-Paradigm Domain Generalization Study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9 – SYSTEM IMPLEMENTATION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47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9.1 Backend Architecture (FastAPI &amp; Uvicorn Runtime)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9.2 Thread-Safe ML Inference Singleton &amp; Memory Management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9.3 Two-Stage CXR Validation Gate Implementation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9.4 Real-Time Grad-CAM Saliency Generation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9.5 Database Persistence &amp; Case Management (SQLAlchemy / SQLite)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9.6 Frontend Client Architecture (React 18 &amp; Glassmorphic UI)</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10 – USER INTERFACE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49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10.1 User Interface Design Philosophy &amp; Clinical Ergonomics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10.2 Diagnostic Dashboard &amp; Application Overview</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10.3 Radiograph Ingestion &amp; Triage Workflow</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10.4 Multi-Class Diagnostic Output &amp; Probability Visualization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10.5 Grad-CAM Visual Attention Heatmap</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10.6 Clinical Audit Trail &amp; Historical Record Management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10.7 Model Evaluation &amp; Performance Metrics Dashboard</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11 – TESTING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53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11.1 Verification Strategy &amp; Quality Assurance Framework</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11.2 Unit, Integration &amp; API Test Coverage (44/44 Tests Passed)</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11.3 CXR Validation Gate Testing &amp; Out-of-Distribution Defense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11.4 Explainability &amp; Grad-CAM Verification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11.5 Deterministic Inference &amp; Model Reliability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11.6 Research-Stage Verification vs. Clinical Validation Disclaimer</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12 – MODEL EVALUATION AND RESULTS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56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12.1 Experimental Protocol &amp; Comprehensive Evaluation Metrics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12.2 Five-Paradigm Comparative Performance Benchmark</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12.3 Internal Test Performance of the Final Frequency-Aware DenseNet-121 Model</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12.4 Visual Performance Evidence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12.5 Negative Result Analysis: Hybrid Model Degradation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12.6 External Zero-Shot Generalization Audit: Montgomery County Cohort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12.7 Root Cause Investigation of External Classification Failure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12.8 Two-Stage CXR Gate Functional Evaluation &amp; Threshold Selection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12.9 Threshold Selection Limitation &amp; Out-of-Distribution Cat Defect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13 – SECURITY, PRIVACY AND RESPONSIBLE AI</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63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13.1 Medical Data Security &amp; Boundary Protection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13.2 Patient Privacy, De-Identification &amp; Regulatory Considerations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13.3 Explainability &amp; Clinician-in-the-Loop Safeguards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13.4 Non-Diagnostic Positioning &amp; Clinical Disclaimers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14 – LIMITATIONS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65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14.1 External Dataset Generalization Failure (Montgomery Cohort)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14.2 Class Imbalance &amp; Pathological Representation Gaps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14.3 Sensor Domain Shift &amp; High-Frequency Sensitivity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14.4 CXR Validation Gate Threshold Selection Leakage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14.5 Lack of Prospective Clinical &amp; Hospital Validation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15 – FUTURE ENHANCEMENTS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67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15.1 Multi-Center Prospective Clinical Trials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15.2 Independent Threshold Calibration &amp; Temperature Scaling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15.3 DICOM &amp; PACS Integration Standards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15.4 Advanced Domain Invariant Representation Learning</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15.5 Enhanced Explainability Frameworks (Grad-CAM++, Score-CAM)</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CHAPTER 16 – CONCLUSION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69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16.1 Summary of Research Contributions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16.2 Empirical Lessons from Domain Generalization Benchmarks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70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16.3 Final Concluding Remarks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70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REFERENCES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71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i w:val="0"/>
                <w:color w:val="0B1F3A"/>
                <w:sz w:val="20"/>
              </w:rPr>
              <w:t>APPENDICES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i w:val="0"/>
                <w:color w:val="0B1F3A"/>
                <w:sz w:val="20"/>
              </w:rPr>
              <w:t>74</w:t>
            </w:r>
          </w:p>
        </w:tc>
      </w:tr>
    </w:tbl>
    <w:p>
      <w:pPr>
        <w:spacing w:before="0" w:after="80"/>
      </w:pPr>
    </w:p>
    <w:p>
      <w:r>
        <w:br w:type="page"/>
      </w:r>
    </w:p>
    <w:p>
      <w:pPr>
        <w:pStyle w:val="Heading1"/>
        <w:keepNext/>
        <w:spacing w:before="160" w:after="120"/>
        <w:jc w:val="center"/>
      </w:pPr>
      <w:r>
        <w:rPr>
          <w:rFonts w:ascii="Times New Roman" w:hAnsi="Times New Roman"/>
          <w:b/>
          <w:color w:val="0B1F3A"/>
          <w:sz w:val="32"/>
        </w:rPr>
        <w:t>LIST OF FIGURES</w:t>
      </w:r>
    </w:p>
    <w:tbl>
      <w:tblPr>
        <w:tblW w:type="auto" w:w="0"/>
        <w:jc w:val="center"/>
        <w:tblLook w:firstColumn="1" w:firstRow="1" w:lastColumn="0" w:lastRow="0" w:noHBand="0" w:noVBand="1" w:val="04A0"/>
        <w:tblBorders>
          <w:top w:val="single" w:sz="6" w:space="0" w:color="0B1F3A"/>
          <w:bottom w:val="single" w:sz="6" w:space="0" w:color="0B1F3A"/>
          <w:insideH w:val="none"/>
          <w:insideV w:val="none"/>
          <w:left w:val="none"/>
          <w:right w:val="none"/>
        </w:tblBorders>
      </w:tblPr>
      <w:tblGrid>
        <w:gridCol w:w="4680"/>
        <w:gridCol w:w="4680"/>
      </w:tblGrid>
      <w:tr>
        <w:trPr>
          <w:cantSplit/>
          <w:tblHeader/>
        </w:trPr>
        <w:tc>
          <w:tcPr>
            <w:tcW w:type="dxa" w:w="8280"/>
            <w:vAlign w:val="center"/>
            <w:tcMar>
              <w:top w:w="30" w:type="dxa"/>
              <w:bottom w:w="30" w:type="dxa"/>
              <w:left w:w="45" w:type="dxa"/>
              <w:right w:w="45" w:type="dxa"/>
            </w:tcMar>
            <w:shd w:fill="F2F6FB"/>
          </w:tcPr>
          <w:p>
            <w:pPr>
              <w:spacing w:before="0" w:after="0" w:line="220" w:lineRule="auto"/>
              <w:jc w:val="left"/>
            </w:pPr>
            <w:r>
              <w:rPr>
                <w:rFonts w:ascii="Times New Roman" w:hAnsi="Times New Roman"/>
                <w:b/>
                <w:color w:val="0B1F3A"/>
                <w:sz w:val="20"/>
              </w:rPr>
              <w:t>Figure Number &amp; Descriptive Caption</w:t>
            </w:r>
          </w:p>
        </w:tc>
        <w:tc>
          <w:tcPr>
            <w:tcW w:type="dxa" w:w="1080"/>
            <w:vAlign w:val="center"/>
            <w:tcMar>
              <w:top w:w="30" w:type="dxa"/>
              <w:bottom w:w="30" w:type="dxa"/>
              <w:left w:w="45" w:type="dxa"/>
              <w:right w:w="45" w:type="dxa"/>
            </w:tcMar>
            <w:shd w:fill="F2F6FB"/>
          </w:tcPr>
          <w:p>
            <w:pPr>
              <w:spacing w:before="0" w:after="0" w:line="220" w:lineRule="auto"/>
              <w:jc w:val="right"/>
            </w:pPr>
            <w:r>
              <w:rPr>
                <w:rFonts w:ascii="Times New Roman" w:hAnsi="Times New Roman"/>
                <w:b/>
                <w:color w:val="0B1F3A"/>
                <w:sz w:val="20"/>
              </w:rPr>
              <w:t>Page</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4.1: Proposed LungAI Multi-Tier System Architecture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6.1: Level-0 Data Flow Diagram (Context Level)</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6.2: Level-1 Data Flow Diagram (Module Decomposition)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34</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6.3: Level-2 Data Flow Diagram (Machine Learning Inference)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6.4: UML Use Case Diagram for Clinical Decision Support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6.5: UML Class Diagram of Backend Service Architecture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6.6: UML Sequence Diagram for Radiograph Diagnostic Ingestion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6.7: UML Activity Diagram with Two-Stage CXR Validation Gate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6.8: UML Component Diagram of Full-Stack System</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6.9: UML Deployment Diagram for Clinical Server Topology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6.10: Entity Relationship Diagram for Patient Case Persistence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7.1: Multi-Source Dataset Ingestion and Partitioning Pipeline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8.1: Frequency-Aware DenseNet-121 Architecture and Six-Class Classification Head</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8.2: Deterministic Biophysical Preprocessing Pipeline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45</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10.1: LungAI Diagnostic Dashboard and Application Overview</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10.2: Radiograph Ingestion and Quality Validation Interface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10.3: Multi-Class Prediction Output and Probability Distribution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10.4: Real-Time Grad-CAM Visual Attention Saliency Map</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10.5: Clinical Audit Trail and Patient Case History Management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10.6: Model Evaluation and Performance Metrics Dashboard</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12.1: Normalized Confusion Matrix for Frequency-Aware DenseNet-121 (Model D)</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12.2: Multi-Class Receiver Operating Characteristic (ROC) Curves for Frequency-Aware DenseNet-121 (Model D)</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58</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Figure 12.3: Multi-Class Precision-Recall (PR) Curves for Frequency-Aware DenseNet-121 (Model D)</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58</w:t>
            </w:r>
          </w:p>
        </w:tc>
      </w:tr>
    </w:tbl>
    <w:p>
      <w:pPr>
        <w:spacing w:before="0" w:after="80"/>
      </w:pPr>
    </w:p>
    <w:p>
      <w:r>
        <w:br w:type="page"/>
      </w:r>
    </w:p>
    <w:p>
      <w:pPr>
        <w:pStyle w:val="Heading1"/>
        <w:keepNext/>
        <w:spacing w:before="160" w:after="120"/>
        <w:jc w:val="center"/>
      </w:pPr>
      <w:r>
        <w:rPr>
          <w:rFonts w:ascii="Times New Roman" w:hAnsi="Times New Roman"/>
          <w:b/>
          <w:color w:val="0B1F3A"/>
          <w:sz w:val="32"/>
        </w:rPr>
        <w:t>LIST OF TABLES</w:t>
      </w:r>
    </w:p>
    <w:tbl>
      <w:tblPr>
        <w:tblW w:type="auto" w:w="0"/>
        <w:jc w:val="center"/>
        <w:tblLook w:firstColumn="1" w:firstRow="1" w:lastColumn="0" w:lastRow="0" w:noHBand="0" w:noVBand="1" w:val="04A0"/>
        <w:tblBorders>
          <w:top w:val="single" w:sz="6" w:space="0" w:color="0B1F3A"/>
          <w:bottom w:val="single" w:sz="6" w:space="0" w:color="0B1F3A"/>
          <w:insideH w:val="none"/>
          <w:insideV w:val="none"/>
          <w:left w:val="none"/>
          <w:right w:val="none"/>
        </w:tblBorders>
      </w:tblPr>
      <w:tblGrid>
        <w:gridCol w:w="4680"/>
        <w:gridCol w:w="4680"/>
      </w:tblGrid>
      <w:tr>
        <w:trPr>
          <w:cantSplit/>
          <w:tblHeader/>
        </w:trPr>
        <w:tc>
          <w:tcPr>
            <w:tcW w:type="dxa" w:w="8280"/>
            <w:vAlign w:val="center"/>
            <w:tcMar>
              <w:top w:w="30" w:type="dxa"/>
              <w:bottom w:w="30" w:type="dxa"/>
              <w:left w:w="45" w:type="dxa"/>
              <w:right w:w="45" w:type="dxa"/>
            </w:tcMar>
            <w:shd w:fill="F2F6FB"/>
          </w:tcPr>
          <w:p>
            <w:pPr>
              <w:spacing w:before="0" w:after="0" w:line="220" w:lineRule="auto"/>
              <w:jc w:val="left"/>
            </w:pPr>
            <w:r>
              <w:rPr>
                <w:rFonts w:ascii="Times New Roman" w:hAnsi="Times New Roman"/>
                <w:b/>
                <w:color w:val="0B1F3A"/>
                <w:sz w:val="20"/>
              </w:rPr>
              <w:t>Table Number &amp; Descriptive Title</w:t>
            </w:r>
          </w:p>
        </w:tc>
        <w:tc>
          <w:tcPr>
            <w:tcW w:type="dxa" w:w="1080"/>
            <w:vAlign w:val="center"/>
            <w:tcMar>
              <w:top w:w="30" w:type="dxa"/>
              <w:bottom w:w="30" w:type="dxa"/>
              <w:left w:w="45" w:type="dxa"/>
              <w:right w:w="45" w:type="dxa"/>
            </w:tcMar>
            <w:shd w:fill="F2F6FB"/>
          </w:tcPr>
          <w:p>
            <w:pPr>
              <w:spacing w:before="0" w:after="0" w:line="220" w:lineRule="auto"/>
              <w:jc w:val="right"/>
            </w:pPr>
            <w:r>
              <w:rPr>
                <w:rFonts w:ascii="Times New Roman" w:hAnsi="Times New Roman"/>
                <w:b/>
                <w:color w:val="0B1F3A"/>
                <w:sz w:val="20"/>
              </w:rPr>
              <w:t>Page</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2.1: Systematic Comparison of Prior Thoracic AI Literature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23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5.1: Minimum and Recommended Hardware Specifications</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5.2: Software Environment, Library Dependencies, and Runtime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5.3: Core Functional Requirements of the Platform</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31</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7.1: Class Distribution Across Acquisition Sources in Unified V5</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40</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7.2: Patient-Level Splitting Distribution of the V5 Dataset</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42</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8.1: Architectural Specifications of DenseNet-121 Feature Extractor</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8.2: Experimental Hyperparameters Across Domain Generalization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46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11.1: Automated Software Verification and Test Suite Summary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53</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12.1: Comparative Performance Across Five Domain Generalization</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56</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12.2: Per-Class Diagnostic Performance of Frequency-Aware DenseNet-121</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57</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12.3: Zero-Shot External Generalization Performance on Montgomery</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59</w:t>
            </w:r>
          </w:p>
        </w:tc>
      </w:tr>
      <w:tr>
        <w:trPr>
          <w:cantSplit/>
        </w:trPr>
        <w:tc>
          <w:tcPr>
            <w:tcW w:type="dxa" w:w="8280"/>
            <w:vAlign w:val="center"/>
            <w:tcMar>
              <w:top w:w="30" w:type="dxa"/>
              <w:bottom w:w="30" w:type="dxa"/>
              <w:left w:w="45" w:type="dxa"/>
              <w:right w:w="45" w:type="dxa"/>
            </w:tcMar>
          </w:tcPr>
          <w:p>
            <w:pPr>
              <w:spacing w:before="0" w:after="0" w:line="220" w:lineRule="auto"/>
              <w:jc w:val="left"/>
            </w:pPr>
            <w:r>
              <w:rPr>
                <w:rFonts w:ascii="Times New Roman" w:hAnsi="Times New Roman"/>
                <w:b w:val="0"/>
                <w:i w:val="0"/>
                <w:color w:val="1E1E1E"/>
                <w:sz w:val="20"/>
              </w:rPr>
              <w:t>Table 12.4: Functional Validation of Two-Stage CXR Screening Gate</w:t>
            </w:r>
          </w:p>
        </w:tc>
        <w:tc>
          <w:tcPr>
            <w:tcW w:type="dxa" w:w="1080"/>
            <w:vAlign w:val="center"/>
            <w:tcMar>
              <w:top w:w="30" w:type="dxa"/>
              <w:bottom w:w="30" w:type="dxa"/>
              <w:left w:w="45" w:type="dxa"/>
              <w:right w:w="45" w:type="dxa"/>
            </w:tcMar>
          </w:tcPr>
          <w:p>
            <w:pPr>
              <w:spacing w:before="0" w:after="0" w:line="220" w:lineRule="auto"/>
              <w:jc w:val="right"/>
            </w:pPr>
            <w:r>
              <w:rPr>
                <w:rFonts w:ascii="Times New Roman" w:hAnsi="Times New Roman"/>
                <w:b w:val="0"/>
                <w:i w:val="0"/>
                <w:color w:val="1E1E1E"/>
                <w:sz w:val="20"/>
              </w:rPr>
              <w:t>61</w:t>
            </w:r>
          </w:p>
        </w:tc>
      </w:tr>
    </w:tbl>
    <w:p>
      <w:pPr>
        <w:spacing w:before="0" w:after="80"/>
      </w:pPr>
    </w:p>
    <w:p>
      <w:r>
        <w:br w:type="page"/>
      </w:r>
    </w:p>
    <w:p>
      <w:pPr>
        <w:pStyle w:val="Heading1"/>
        <w:keepNext/>
        <w:spacing w:before="160" w:after="120"/>
        <w:jc w:val="center"/>
      </w:pPr>
      <w:r>
        <w:rPr>
          <w:rFonts w:ascii="Times New Roman" w:hAnsi="Times New Roman"/>
          <w:b/>
          <w:color w:val="0B1F3A"/>
          <w:sz w:val="32"/>
        </w:rPr>
        <w:t>ABBREVIATIONS / ACRONYMS</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4680"/>
        <w:gridCol w:w="4680"/>
      </w:tblGrid>
      <w:tr>
        <w:trPr>
          <w:cantSplit/>
          <w:tblHeader/>
        </w:trPr>
        <w:tc>
          <w:tcPr>
            <w:tcW w:type="dxa" w:w="259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Abbreviation</w:t>
            </w:r>
          </w:p>
        </w:tc>
        <w:tc>
          <w:tcPr>
            <w:tcW w:type="dxa" w:w="676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Expanded Definition / Clinical Context</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API</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Application Programming Interface (RESTful Web Service)</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ARDS</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Acute Respiratory Distress Syndrome</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BN</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Batch Normalization Layer</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CAD</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Computer-Aided Detection / Computer-Aided Diagnosis</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CLAHE</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Contrast-Limited Adaptive Histogram Equalization</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CNN</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Convolutional Neural Network</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CORAL</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Correlation Alignment (Unsupervised Domain Adaptation)</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COVID-19</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Coronavirus Disease 2019 (SARS-CoV-2 Infection)</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CR</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Computed Radiography (Photostimulable Phosphor Plate)</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CXR</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Chest Radiograph / Planar Thoracic X-Ray Projection</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DANN</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Domain-Adversarial Neural Network</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DenseNet</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Densely Connected Convolutional Network</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DICOM</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Digital Imaging and Communications in Medicine Standard</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DR</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Digital Radiography (Direct Flat-Panel Amorphous Silicon)</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ERM</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Empirical Risk Minimization (Cross-Entropy Optimization)</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FIFO</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First-In, First-Out (Unprioritized Worklist Architecture)</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GAP</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Global Average Pooling Layer</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GGO</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Ground-Glass Opacity (Hazy Attenuation Increase)</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Grad-CAM</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Gradient-Weighted Class Activation Mapping</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GRL</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Gradient Reversal Layer (Adversarial Training)</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HSV</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Hue, Saturation, Value Color Space</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JSRT</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Japanese Society of Radiological Technology</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MIMIC</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Medical Information Mart for Intensive Care</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NIH</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National Institutes of Health Clinical Center</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ORM</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Object-Relational Mapping (SQLAlchemy Framework)</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PACS</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Picture Archiving and Communication System</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PR-AUC</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Precision-Recall Area Under the Curve</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ReLU</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Rectified Linear Unit Activation Function</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ResNet</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Deep Residual Neural Network Architecture</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ROC-AUC</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Receiver Operating Characteristic Area Under the Curve</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SPA</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Single-Page Application (React 18 Architecture)</w:t>
            </w:r>
          </w:p>
        </w:tc>
      </w:tr>
      <w:tr>
        <w:trPr>
          <w:cantSplit/>
        </w:trPr>
        <w:tc>
          <w:tcPr>
            <w:tcW w:type="dxa" w:w="259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TB</w:t>
            </w:r>
          </w:p>
        </w:tc>
        <w:tc>
          <w:tcPr>
            <w:tcW w:type="dxa" w:w="67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Pulmonary Tuberculosis (</w:t>
            </w:r>
            <w:r>
              <w:rPr>
                <w:rFonts w:ascii="Times New Roman" w:hAnsi="Times New Roman"/>
                <w:b w:val="0"/>
                <w:i/>
                <w:color w:val="1E1E1E"/>
                <w:sz w:val="21"/>
              </w:rPr>
              <w:t>Mycobacterium tuberculosis</w:t>
            </w:r>
            <w:r>
              <w:rPr>
                <w:rFonts w:ascii="Times New Roman" w:hAnsi="Times New Roman"/>
                <w:b w:val="0"/>
                <w:i w:val="0"/>
                <w:color w:val="1E1E1E"/>
                <w:sz w:val="21"/>
              </w:rPr>
              <w:t>)</w:t>
            </w:r>
          </w:p>
        </w:tc>
      </w:tr>
      <w:tr>
        <w:trPr>
          <w:cantSplit/>
        </w:trPr>
        <w:tc>
          <w:tcPr>
            <w:tcW w:type="dxa" w:w="259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UML</w:t>
            </w:r>
          </w:p>
        </w:tc>
        <w:tc>
          <w:tcPr>
            <w:tcW w:type="dxa" w:w="67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Unified Modeling Language</w:t>
            </w:r>
          </w:p>
        </w:tc>
      </w:tr>
    </w:tbl>
    <w:p>
      <w:pPr>
        <w:spacing w:before="0" w:after="80"/>
      </w:pPr>
    </w:p>
    <w:p>
      <w:r>
        <w:br w:type="page"/>
      </w:r>
    </w:p>
    <w:p>
      <w:pPr>
        <w:pStyle w:val="Heading1"/>
        <w:keepNext/>
        <w:spacing w:before="160" w:after="120"/>
        <w:jc w:val="left"/>
      </w:pPr>
      <w:r>
        <w:rPr>
          <w:rFonts w:ascii="Times New Roman" w:hAnsi="Times New Roman"/>
          <w:b/>
          <w:color w:val="0B1F3A"/>
          <w:sz w:val="32"/>
        </w:rPr>
        <w:t>CHAPTER 1 – INTRODUCTION</w:t>
      </w:r>
    </w:p>
    <w:p>
      <w:pPr>
        <w:pStyle w:val="Heading2"/>
        <w:keepNext/>
        <w:spacing w:before="140" w:after="60"/>
        <w:jc w:val="left"/>
      </w:pPr>
      <w:r>
        <w:rPr>
          <w:rFonts w:ascii="Times New Roman" w:hAnsi="Times New Roman"/>
          <w:b/>
          <w:color w:val="185FA5"/>
          <w:sz w:val="28"/>
        </w:rPr>
        <w:t>1.1 Clinical Background &amp; Problem Domain</w:t>
      </w:r>
    </w:p>
    <w:p>
      <w:pPr>
        <w:spacing w:before="0" w:after="70" w:line="276" w:lineRule="auto"/>
        <w:jc w:val="both"/>
      </w:pPr>
      <w:r>
        <w:rPr>
          <w:rFonts w:ascii="Times New Roman" w:hAnsi="Times New Roman"/>
          <w:b w:val="0"/>
          <w:i w:val="0"/>
          <w:color w:val="1E1E1E"/>
          <w:sz w:val="24"/>
        </w:rPr>
        <w:t>Thoracic diseases constitute one of the most pressing public health challenges globally, responsible for tens of millions of hospitalizations and premature deaths each year [1]. Acute infectious respiratory conditions, most notably bacterial and viral pneumonia, coronavirus disease 2019 (COVID-19), and pulmonary tuberculosis (</w:t>
      </w:r>
      <w:r>
        <w:rPr>
          <w:rFonts w:ascii="Times New Roman" w:hAnsi="Times New Roman"/>
          <w:b w:val="0"/>
          <w:i/>
          <w:color w:val="1E1E1E"/>
          <w:sz w:val="24"/>
        </w:rPr>
        <w:t>Mycobacterium tuberculosis</w:t>
      </w:r>
      <w:r>
        <w:rPr>
          <w:rFonts w:ascii="Times New Roman" w:hAnsi="Times New Roman"/>
          <w:b w:val="0"/>
          <w:i w:val="0"/>
          <w:color w:val="1E1E1E"/>
          <w:sz w:val="24"/>
        </w:rPr>
        <w:t>), pose immediate, life-threatening risks of respiratory failure and Acute Respiratory Distress Syndrome (ARDS). Concurrently, chronic and focal thoracic conditions, including pleural effusion and solitary or multifocal pulmonary nodules and masses, represent frequent radiographic manifestations of cardiovascular compromise, severe systemic infection, or primary and metastatic pulmonary malignancies. In acute emergency triage, every hour of therapeutic delay substantially elevates patient mortality, whereas in chronic thoracic pathologies, early detection of radiographic signs is the primary determinant of curative intervention and long-term survival.</w:t>
      </w:r>
    </w:p>
    <w:p>
      <w:pPr>
        <w:spacing w:before="0" w:after="70" w:line="276" w:lineRule="auto"/>
        <w:jc w:val="both"/>
      </w:pPr>
      <w:r>
        <w:rPr>
          <w:rFonts w:ascii="Times New Roman" w:hAnsi="Times New Roman"/>
          <w:b w:val="0"/>
          <w:i w:val="0"/>
          <w:color w:val="1E1E1E"/>
          <w:sz w:val="24"/>
        </w:rPr>
        <w:t>Chest radiography (CXR) serves as the primary, most accessible, and most universally utilized diagnostic imaging modality in clinical medicine. Its minimal ionizing radiation footprint (approximately 0.1 mSv for a standard posteroanterior projection, compared to 7.0–10.0 mSv for thoracic computed tomography [CT]), rapid acquisition throughput, and low capital cost make it the standard diagnostic examination in emergency triage wards, intensive care units, outpatient clinics, and rural or resource-constrained healthcare environments worldwide.</w:t>
      </w:r>
    </w:p>
    <w:p>
      <w:pPr>
        <w:spacing w:before="0" w:after="70" w:line="276" w:lineRule="auto"/>
        <w:jc w:val="both"/>
      </w:pPr>
      <w:r>
        <w:rPr>
          <w:rFonts w:ascii="Times New Roman" w:hAnsi="Times New Roman"/>
          <w:b w:val="0"/>
          <w:i w:val="0"/>
          <w:color w:val="1E1E1E"/>
          <w:sz w:val="24"/>
        </w:rPr>
        <w:t>However, planar chest radiography poses immense perceptual and diagnostic challenges. Because planar radiography flattens a complex, dynamic three-dimensional anatomical volume into a single two-dimensional projection, overlying anatomical structures—such as anterior and posterior ribs, clavicles, mediastinal contours, cardiac margins, and branching bronchovascular trees—superimpose upon one another. Consequently, subtle, low-contrast parenchymal opacities, ground-glass infiltrates, small apical cavities, and faint solitary nodules are frequently obscured by normal anatomical clutter. Discriminating early pathological patterns from benign physiological variations requires years of specialized radiological training and sustained cognitive vigilance.</w:t>
      </w:r>
    </w:p>
    <w:p>
      <w:pPr>
        <w:pStyle w:val="Heading2"/>
        <w:keepNext/>
        <w:spacing w:before="140" w:after="60"/>
        <w:jc w:val="left"/>
      </w:pPr>
      <w:r>
        <w:rPr>
          <w:rFonts w:ascii="Times New Roman" w:hAnsi="Times New Roman"/>
          <w:b/>
          <w:color w:val="185FA5"/>
          <w:sz w:val="28"/>
        </w:rPr>
        <w:t>1.2 Radiographic Imaging Principles &amp; Diagnostic Role</w:t>
      </w:r>
    </w:p>
    <w:p>
      <w:pPr>
        <w:spacing w:before="0" w:after="70" w:line="276" w:lineRule="auto"/>
        <w:jc w:val="both"/>
      </w:pPr>
      <w:r>
        <w:rPr>
          <w:rFonts w:ascii="Times New Roman" w:hAnsi="Times New Roman"/>
          <w:b w:val="0"/>
          <w:i w:val="0"/>
          <w:color w:val="1E1E1E"/>
          <w:sz w:val="24"/>
        </w:rPr>
        <w:t>Planar chest radiograph formation is fundamentally governed by the physical principles of differential X-ray photon attenuation across human tissues of divergent atomic composition, physical thickness, and tissue density. In standard thoracic imaging, bodily tissues are categorized into four canonical radiodensities:</w:t>
      </w:r>
    </w:p>
    <w:p>
      <w:pPr>
        <w:pStyle w:val="ListNumber"/>
        <w:spacing w:before="0" w:after="40" w:line="276" w:lineRule="auto"/>
        <w:jc w:val="both"/>
      </w:pPr>
      <w:r>
        <w:rPr>
          <w:rFonts w:ascii="Times New Roman" w:hAnsi="Times New Roman"/>
          <w:b/>
          <w:i w:val="0"/>
          <w:color w:val="0B1F3A"/>
          <w:sz w:val="24"/>
        </w:rPr>
        <w:t>Air / Gas</w:t>
      </w:r>
      <w:r>
        <w:rPr>
          <w:rFonts w:ascii="Times New Roman" w:hAnsi="Times New Roman"/>
          <w:b w:val="0"/>
          <w:i w:val="0"/>
          <w:color w:val="1E1E1E"/>
          <w:sz w:val="24"/>
        </w:rPr>
        <w:t>: Possesses negligible physical density, allowing the vast majority of incident X-ray photons to pass through unattenuated to the digital receptor, producing low optical density (radiolucent, appearing black or dark charcoal). In a healthy subject, ventilated lung fields appear dark.</w:t>
      </w:r>
    </w:p>
    <w:p>
      <w:pPr>
        <w:pStyle w:val="ListNumber"/>
        <w:spacing w:before="0" w:after="40" w:line="276" w:lineRule="auto"/>
        <w:jc w:val="both"/>
      </w:pPr>
      <w:r>
        <w:rPr>
          <w:rFonts w:ascii="Times New Roman" w:hAnsi="Times New Roman"/>
          <w:b/>
          <w:i w:val="0"/>
          <w:color w:val="0B1F3A"/>
          <w:sz w:val="24"/>
        </w:rPr>
        <w:t>Fat / Adipose Tissue</w:t>
      </w:r>
      <w:r>
        <w:rPr>
          <w:rFonts w:ascii="Times New Roman" w:hAnsi="Times New Roman"/>
          <w:b w:val="0"/>
          <w:i w:val="0"/>
          <w:color w:val="1E1E1E"/>
          <w:sz w:val="24"/>
        </w:rPr>
        <w:t>: Possesses intermediate low density, attenuating slightly more photons than air and appearing dark grey in subcutaneous planes.</w:t>
      </w:r>
    </w:p>
    <w:p>
      <w:pPr>
        <w:pStyle w:val="ListNumber"/>
        <w:spacing w:before="0" w:after="40" w:line="276" w:lineRule="auto"/>
        <w:jc w:val="both"/>
      </w:pPr>
      <w:r>
        <w:rPr>
          <w:rFonts w:ascii="Times New Roman" w:hAnsi="Times New Roman"/>
          <w:b/>
          <w:i w:val="0"/>
          <w:color w:val="0B1F3A"/>
          <w:sz w:val="24"/>
        </w:rPr>
        <w:t>Soft Tissue / Fluid</w:t>
      </w:r>
      <w:r>
        <w:rPr>
          <w:rFonts w:ascii="Times New Roman" w:hAnsi="Times New Roman"/>
          <w:b w:val="0"/>
          <w:i w:val="0"/>
          <w:color w:val="1E1E1E"/>
          <w:sz w:val="24"/>
        </w:rPr>
        <w:t>: Comprising the heart, great vessels, diaphragm, blood, purulent exudate, and parenchymal tissue, attenuates photons moderately, manifesting as mid-tone grey or off-white opacities.</w:t>
      </w:r>
    </w:p>
    <w:p>
      <w:pPr>
        <w:pStyle w:val="ListNumber"/>
        <w:spacing w:before="0" w:after="40" w:line="276" w:lineRule="auto"/>
        <w:jc w:val="both"/>
      </w:pPr>
      <w:r>
        <w:rPr>
          <w:rFonts w:ascii="Times New Roman" w:hAnsi="Times New Roman"/>
          <w:b/>
          <w:i w:val="0"/>
          <w:color w:val="0B1F3A"/>
          <w:sz w:val="24"/>
        </w:rPr>
        <w:t>Bone / Calcification</w:t>
      </w:r>
      <w:r>
        <w:rPr>
          <w:rFonts w:ascii="Times New Roman" w:hAnsi="Times New Roman"/>
          <w:b w:val="0"/>
          <w:i w:val="0"/>
          <w:color w:val="1E1E1E"/>
          <w:sz w:val="24"/>
        </w:rPr>
        <w:t>: Characterized by high calcium content and atomic number, strongly attenuates X-ray photons via photoelectric absorption, resulting in high optical radiopacity (bright white).</w:t>
      </w:r>
    </w:p>
    <w:p>
      <w:pPr>
        <w:spacing w:before="0" w:after="70" w:line="276" w:lineRule="auto"/>
        <w:jc w:val="both"/>
      </w:pPr>
      <w:r>
        <w:rPr>
          <w:rFonts w:ascii="Times New Roman" w:hAnsi="Times New Roman"/>
          <w:b w:val="0"/>
          <w:i w:val="0"/>
          <w:color w:val="1E1E1E"/>
          <w:sz w:val="24"/>
        </w:rPr>
        <w:t>Pathological processes within the thoracic cage alter this normal distribution of photon attenuation:</w:t>
      </w:r>
    </w:p>
    <w:p>
      <w:pPr>
        <w:pStyle w:val="ListBullet"/>
        <w:spacing w:before="0" w:after="40" w:line="276" w:lineRule="auto"/>
        <w:jc w:val="both"/>
      </w:pPr>
      <w:r>
        <w:rPr>
          <w:rFonts w:ascii="Times New Roman" w:hAnsi="Times New Roman"/>
          <w:b/>
          <w:i w:val="0"/>
          <w:color w:val="0B1F3A"/>
          <w:sz w:val="24"/>
        </w:rPr>
        <w:t>Pneumonia</w:t>
      </w:r>
      <w:r>
        <w:rPr>
          <w:rFonts w:ascii="Times New Roman" w:hAnsi="Times New Roman"/>
          <w:b w:val="0"/>
          <w:i w:val="0"/>
          <w:color w:val="1E1E1E"/>
          <w:sz w:val="24"/>
        </w:rPr>
        <w:t>: Microbial infection incites acute alveolar inflammation, filling alveolar airspaces with purulent cellular exudate, fibrin, and erythrocytes. This alveolar consolidation replaces radiolucent air with soft-tissue density, generating patchy or confluent opacifications and classic air bronchograms.</w:t>
      </w:r>
    </w:p>
    <w:p>
      <w:pPr>
        <w:pStyle w:val="ListBullet"/>
        <w:spacing w:before="0" w:after="40" w:line="276" w:lineRule="auto"/>
        <w:jc w:val="both"/>
      </w:pPr>
      <w:r>
        <w:rPr>
          <w:rFonts w:ascii="Times New Roman" w:hAnsi="Times New Roman"/>
          <w:b/>
          <w:i w:val="0"/>
          <w:color w:val="0B1F3A"/>
          <w:sz w:val="24"/>
        </w:rPr>
        <w:t>COVID-19</w:t>
      </w:r>
      <w:r>
        <w:rPr>
          <w:rFonts w:ascii="Times New Roman" w:hAnsi="Times New Roman"/>
          <w:b w:val="0"/>
          <w:i w:val="0"/>
          <w:color w:val="1E1E1E"/>
          <w:sz w:val="24"/>
        </w:rPr>
        <w:t>: Viral alveolar injury and interstitial inflammation produce distinctive peripheral, subpleural, and bilateral ground-glass opacities (GGOs) and consolidative patches, frequently concentrated in lower lung zones.</w:t>
      </w:r>
    </w:p>
    <w:p>
      <w:pPr>
        <w:pStyle w:val="ListBullet"/>
        <w:spacing w:before="0" w:after="40" w:line="276" w:lineRule="auto"/>
        <w:jc w:val="both"/>
      </w:pPr>
      <w:r>
        <w:rPr>
          <w:rFonts w:ascii="Times New Roman" w:hAnsi="Times New Roman"/>
          <w:b/>
          <w:i w:val="0"/>
          <w:color w:val="0B1F3A"/>
          <w:sz w:val="24"/>
        </w:rPr>
        <w:t>Tuberculosis</w:t>
      </w:r>
      <w:r>
        <w:rPr>
          <w:rFonts w:ascii="Times New Roman" w:hAnsi="Times New Roman"/>
          <w:b w:val="0"/>
          <w:i w:val="0"/>
          <w:color w:val="1E1E1E"/>
          <w:sz w:val="24"/>
        </w:rPr>
        <w:t>: Mycobacterial infection triggers granulomatous immune reactions that manifest as apical fibro-cavitary lesions, patchy parenchymal infiltrations, Ghon complexes, or widespread miliary micronodules.</w:t>
      </w:r>
    </w:p>
    <w:p>
      <w:pPr>
        <w:pStyle w:val="ListBullet"/>
        <w:spacing w:before="0" w:after="40" w:line="276" w:lineRule="auto"/>
        <w:jc w:val="both"/>
      </w:pPr>
      <w:r>
        <w:rPr>
          <w:rFonts w:ascii="Times New Roman" w:hAnsi="Times New Roman"/>
          <w:b/>
          <w:i w:val="0"/>
          <w:color w:val="0B1F3A"/>
          <w:sz w:val="24"/>
        </w:rPr>
        <w:t>Pleural Effusion</w:t>
      </w:r>
      <w:r>
        <w:rPr>
          <w:rFonts w:ascii="Times New Roman" w:hAnsi="Times New Roman"/>
          <w:b w:val="0"/>
          <w:i w:val="0"/>
          <w:color w:val="1E1E1E"/>
          <w:sz w:val="24"/>
        </w:rPr>
        <w:t>: Pathological fluid collection within the pleural cavity blunts the normally sharp costophrenic and cardiophrenic sulci, producing homogeneous crescent-shaped opacities with distinctive meniscus contours.</w:t>
      </w:r>
    </w:p>
    <w:p>
      <w:pPr>
        <w:pStyle w:val="ListBullet"/>
        <w:spacing w:before="0" w:after="40" w:line="276" w:lineRule="auto"/>
        <w:jc w:val="both"/>
      </w:pPr>
      <w:r>
        <w:rPr>
          <w:rFonts w:ascii="Times New Roman" w:hAnsi="Times New Roman"/>
          <w:b/>
          <w:i w:val="0"/>
          <w:color w:val="0B1F3A"/>
          <w:sz w:val="24"/>
        </w:rPr>
        <w:t>Pulmonary Nodule / Mass</w:t>
      </w:r>
      <w:r>
        <w:rPr>
          <w:rFonts w:ascii="Times New Roman" w:hAnsi="Times New Roman"/>
          <w:b w:val="0"/>
          <w:i w:val="0"/>
          <w:color w:val="1E1E1E"/>
          <w:sz w:val="24"/>
        </w:rPr>
        <w:t>: Focal parenchymal tissue proliferation, inflammatory granulomas, or neoplastic lesions manifest as discrete, rounded, or lobulated radiopaque opacities within the radiolucent lung fields.</w:t>
      </w:r>
    </w:p>
    <w:p>
      <w:pPr>
        <w:spacing w:before="0" w:after="70" w:line="276" w:lineRule="auto"/>
        <w:jc w:val="both"/>
      </w:pPr>
      <w:r>
        <w:rPr>
          <w:rFonts w:ascii="Times New Roman" w:hAnsi="Times New Roman"/>
          <w:b w:val="0"/>
          <w:i w:val="0"/>
          <w:color w:val="1E1E1E"/>
          <w:sz w:val="24"/>
        </w:rPr>
        <w:t>Accurately recognizing and differentiating these overlapping radiographic opacities is an intellectually demanding cognitive process, heavily reliant on the clinician's pattern-recognition experience.</w:t>
      </w:r>
    </w:p>
    <w:p>
      <w:pPr>
        <w:pStyle w:val="Heading2"/>
        <w:keepNext/>
        <w:spacing w:before="140" w:after="60"/>
        <w:jc w:val="left"/>
      </w:pPr>
      <w:r>
        <w:rPr>
          <w:rFonts w:ascii="Times New Roman" w:hAnsi="Times New Roman"/>
          <w:b/>
          <w:color w:val="185FA5"/>
          <w:sz w:val="28"/>
        </w:rPr>
        <w:t>1.3 Workflow Challenges in Conventional Radiology</w:t>
      </w:r>
    </w:p>
    <w:p>
      <w:pPr>
        <w:spacing w:before="0" w:after="70" w:line="276" w:lineRule="auto"/>
        <w:jc w:val="both"/>
      </w:pPr>
      <w:r>
        <w:rPr>
          <w:rFonts w:ascii="Times New Roman" w:hAnsi="Times New Roman"/>
          <w:b w:val="0"/>
          <w:i w:val="0"/>
          <w:color w:val="1E1E1E"/>
          <w:sz w:val="24"/>
        </w:rPr>
        <w:t>Contemporary healthcare systems worldwide face unprecedented systemic bottlenecks in radiological workflows, driven by three interrelated structural crises:</w:t>
      </w:r>
    </w:p>
    <w:p>
      <w:pPr>
        <w:spacing w:before="0" w:after="70" w:line="276" w:lineRule="auto"/>
        <w:jc w:val="both"/>
      </w:pPr>
      <w:r>
        <w:rPr>
          <w:rFonts w:ascii="Times New Roman" w:hAnsi="Times New Roman"/>
          <w:b w:val="0"/>
          <w:i w:val="0"/>
          <w:color w:val="1E1E1E"/>
          <w:sz w:val="24"/>
        </w:rPr>
        <w:t>First, there exists an acute, widening global shortage and geographical maldistribution of certified diagnostic radiologists. In developing and lower-middle-income nations, the ratio of certified radiologists to population often drops below 1 per 100,000 citizens. Even across tertiary medical centers in high-income countries, annual imaging examination volumes have far outpaced the growth of the radiological workforce. Consequently, emergency department physicians, medical officers, and intensive care clinicians are routinely forced to make urgent diagnostic decisions without specialist radiological interpretation during nights, weekends, and high-volume clinical shifts.</w:t>
      </w:r>
    </w:p>
    <w:p>
      <w:pPr>
        <w:spacing w:before="0" w:after="70" w:line="276" w:lineRule="auto"/>
        <w:jc w:val="both"/>
      </w:pPr>
      <w:r>
        <w:rPr>
          <w:rFonts w:ascii="Times New Roman" w:hAnsi="Times New Roman"/>
          <w:b w:val="0"/>
          <w:i w:val="0"/>
          <w:color w:val="1E1E1E"/>
          <w:sz w:val="24"/>
        </w:rPr>
        <w:t>Second, standard hospital Picture Archiving and Communication Systems (PACS) organize incoming imaging studies using unprioritized, First-In, First-Out (FIFO) worklists. Under this operational architecture, an acute emergency radiograph exhibiting massive bilateral consolidation, tension pneumothorax, or extensive infectious infiltrate sits in the reading queue in the exact sequence it was transmitted by the modality, grouped indiscriminately alongside routine pre-employment physical examinations and outpatient follow-ups. This structural absence of automated triage causes report turnaround delays extending from 24 to over 72 hours in high-volume public hospitals, deferring life-saving antimicrobial or supportive clinical interventions.</w:t>
      </w:r>
    </w:p>
    <w:p>
      <w:pPr>
        <w:spacing w:before="0" w:after="70" w:line="276" w:lineRule="auto"/>
        <w:jc w:val="both"/>
      </w:pPr>
      <w:r>
        <w:rPr>
          <w:rFonts w:ascii="Times New Roman" w:hAnsi="Times New Roman"/>
          <w:b w:val="0"/>
          <w:i w:val="0"/>
          <w:color w:val="1E1E1E"/>
          <w:sz w:val="24"/>
        </w:rPr>
        <w:t>Third, manual human image interpretation is inherently susceptible to diagnostic errors, cognitive fatigue, and perceptual blind spots. Extended shifts, visual fatigue, perceptual distraction, and variations in subspecialty expertise produce documented inter-observer and intra-observer diagnostic disagreement rates between 15% and 30% in thoracic radiograph interpretation. These realities motivate the development of objective, automated, computer-aided detection and clinical triage algorithms.</w:t>
      </w:r>
    </w:p>
    <w:p>
      <w:pPr>
        <w:pStyle w:val="Heading2"/>
        <w:keepNext/>
        <w:spacing w:before="140" w:after="60"/>
        <w:jc w:val="left"/>
      </w:pPr>
      <w:r>
        <w:rPr>
          <w:rFonts w:ascii="Times New Roman" w:hAnsi="Times New Roman"/>
          <w:b/>
          <w:color w:val="185FA5"/>
          <w:sz w:val="28"/>
        </w:rPr>
        <w:t>1.4 Problem Statement &amp; Research Question</w:t>
      </w:r>
    </w:p>
    <w:p>
      <w:pPr>
        <w:spacing w:before="0" w:after="70" w:line="276" w:lineRule="auto"/>
        <w:jc w:val="both"/>
      </w:pPr>
      <w:r>
        <w:rPr>
          <w:rFonts w:ascii="Times New Roman" w:hAnsi="Times New Roman"/>
          <w:b w:val="0"/>
          <w:i w:val="0"/>
          <w:color w:val="1E1E1E"/>
          <w:sz w:val="24"/>
        </w:rPr>
        <w:t>Despite remarkable published benchmarks—where deep learning models frequently report classification accuracy exceeding 95%—real-world translational deployment fails repeatedly due to profound distribution shifts across hospital sites. Prior models frequently overfit to hospital-specific radiographic acquisition shortcuts, scanner-specific digital watermarks, patient demographic markers, and high-frequency detector noise rather than authentic anatomical pathology. Furthermore, public training corpora have suffered from severe uncorrected artifacts, including cross-modality contamination (such as axial CT slices merged into planar CXR datasets), non-radiographic artifacts, and patient-identity leakage across train/test splits.</w:t>
      </w:r>
    </w:p>
    <w:p>
      <w:pPr>
        <w:spacing w:before="0" w:after="70" w:line="276" w:lineRule="auto"/>
        <w:jc w:val="both"/>
      </w:pPr>
      <w:r>
        <w:rPr>
          <w:rFonts w:ascii="Times New Roman" w:hAnsi="Times New Roman"/>
          <w:b w:val="0"/>
          <w:i w:val="0"/>
          <w:color w:val="1E1E1E"/>
          <w:sz w:val="24"/>
        </w:rPr>
        <w:t>To address these fundamental challenges, this research addresses the central scientific research question:</w:t>
      </w:r>
    </w:p>
    <w:p>
      <w:pPr>
        <w:spacing w:before="80" w:after="80"/>
        <w:ind w:left="576" w:right="576"/>
        <w:jc w:val="both"/>
      </w:pPr>
      <w:r>
        <w:rPr>
          <w:rFonts w:ascii="Times New Roman" w:hAnsi="Times New Roman"/>
          <w:b/>
          <w:i/>
          <w:color w:val="0B1F3A"/>
          <w:sz w:val="23"/>
        </w:rPr>
        <w:t>"Can a multi-source six-class chest X-ray classifier learn disease-relevant representations that generalize across independent acquisition sources, and can a domain-generalization strategy improve cross-source performance compared with a standard DenseNet-121 baseline?"</w:t>
      </w:r>
    </w:p>
    <w:p>
      <w:pPr>
        <w:pStyle w:val="Heading2"/>
        <w:keepNext/>
        <w:spacing w:before="140" w:after="60"/>
        <w:jc w:val="left"/>
      </w:pPr>
      <w:r>
        <w:rPr>
          <w:rFonts w:ascii="Times New Roman" w:hAnsi="Times New Roman"/>
          <w:b/>
          <w:color w:val="185FA5"/>
          <w:sz w:val="28"/>
        </w:rPr>
        <w:t>1.5 Research Objectives &amp; Project Scope</w:t>
      </w:r>
    </w:p>
    <w:p>
      <w:pPr>
        <w:spacing w:before="0" w:after="70" w:line="276" w:lineRule="auto"/>
        <w:jc w:val="both"/>
      </w:pPr>
      <w:r>
        <w:rPr>
          <w:rFonts w:ascii="Times New Roman" w:hAnsi="Times New Roman"/>
          <w:b w:val="0"/>
          <w:i w:val="0"/>
          <w:color w:val="1E1E1E"/>
          <w:sz w:val="24"/>
        </w:rPr>
        <w:t>To answer this research question, the following structured research objectives were defined and executed:</w:t>
      </w:r>
    </w:p>
    <w:p>
      <w:pPr>
        <w:pStyle w:val="ListNumber"/>
        <w:spacing w:before="0" w:after="40" w:line="276" w:lineRule="auto"/>
        <w:jc w:val="both"/>
      </w:pPr>
      <w:r>
        <w:rPr>
          <w:rFonts w:ascii="Times New Roman" w:hAnsi="Times New Roman"/>
          <w:b/>
          <w:i w:val="0"/>
          <w:color w:val="0B1F3A"/>
          <w:sz w:val="24"/>
        </w:rPr>
        <w:t>Forensic Dataset Reconstruction &amp; Harmonization</w:t>
      </w:r>
      <w:r>
        <w:rPr>
          <w:rFonts w:ascii="Times New Roman" w:hAnsi="Times New Roman"/>
          <w:b w:val="0"/>
          <w:i w:val="0"/>
          <w:color w:val="1E1E1E"/>
          <w:sz w:val="24"/>
        </w:rPr>
        <w:t>: Conduct an exhaustive forensic audit of public chest radiography repositories to eliminate cross-modality contamination, duplicate scans, and patient overlap leakage. Construct a canonical, leak-free, multi-source six-class benchmark (the Unified V5 dataset) comprising 10,547 images across 10,270 unique patients.</w:t>
      </w:r>
    </w:p>
    <w:p>
      <w:pPr>
        <w:pStyle w:val="ListNumber"/>
        <w:spacing w:before="0" w:after="40" w:line="276" w:lineRule="auto"/>
        <w:jc w:val="both"/>
      </w:pPr>
      <w:r>
        <w:rPr>
          <w:rFonts w:ascii="Times New Roman" w:hAnsi="Times New Roman"/>
          <w:b/>
          <w:i w:val="0"/>
          <w:color w:val="0B1F3A"/>
          <w:sz w:val="24"/>
        </w:rPr>
        <w:t>Deterministic Biophysical Preprocessing Pipeline</w:t>
      </w:r>
      <w:r>
        <w:rPr>
          <w:rFonts w:ascii="Times New Roman" w:hAnsi="Times New Roman"/>
          <w:b w:val="0"/>
          <w:i w:val="0"/>
          <w:color w:val="1E1E1E"/>
          <w:sz w:val="24"/>
        </w:rPr>
        <w:t>: Formulate a reproducible preprocessing workflow combining chromatic-luminance decoupling (CIE LAB space), Contrast-Limited Adaptive Histogram Equalization (CLAHE) on the luminance channel, high-order Lanczos-4 spatial resampling, and Gaussian frequency low-pass filtering (</w:t>
      </w:r>
      <w:r>
        <w:rPr>
          <w:rFonts w:ascii="Times New Roman" w:hAnsi="Times New Roman"/>
          <w:b w:val="0"/>
          <w:i/>
          <w:color w:val="1E1E1E"/>
          <w:sz w:val="24"/>
        </w:rPr>
        <w:t>\sigma = 1.0</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Controlled Multi-Paradigm Domain Generalization Benchmarking</w:t>
      </w:r>
      <w:r>
        <w:rPr>
          <w:rFonts w:ascii="Times New Roman" w:hAnsi="Times New Roman"/>
          <w:b w:val="0"/>
          <w:i w:val="0"/>
          <w:color w:val="1E1E1E"/>
          <w:sz w:val="24"/>
        </w:rPr>
        <w:t>: Under an identical backbone (DenseNet-121) and identical experimental protocol, systematically train and benchmark five controlled training and preprocessing paradigms: (1) ERM DenseNet-121 Baseline, (2) CORAL-Enhanced DenseNet-121, (3) DANN DenseNet-121, (4) Frequency-Aware DenseNet-121 (internally designated Model D), and (5) Hybrid Frequency + CORAL DenseNet-121.</w:t>
      </w:r>
    </w:p>
    <w:p>
      <w:pPr>
        <w:pStyle w:val="ListNumber"/>
        <w:spacing w:before="0" w:after="40" w:line="276" w:lineRule="auto"/>
        <w:jc w:val="both"/>
      </w:pPr>
      <w:r>
        <w:rPr>
          <w:rFonts w:ascii="Times New Roman" w:hAnsi="Times New Roman"/>
          <w:b/>
          <w:i w:val="0"/>
          <w:color w:val="0B1F3A"/>
          <w:sz w:val="24"/>
        </w:rPr>
        <w:t>Transparent External Generalization Failure Audit</w:t>
      </w:r>
      <w:r>
        <w:rPr>
          <w:rFonts w:ascii="Times New Roman" w:hAnsi="Times New Roman"/>
          <w:b w:val="0"/>
          <w:i w:val="0"/>
          <w:color w:val="1E1E1E"/>
          <w:sz w:val="24"/>
        </w:rPr>
        <w:t>: Evaluate the trained architectures zero-shot on an untouched, external acquisition benchmark (the Montgomery County cohort) and execute biophysical forensic analyses to isolate the characteristics associated with external domain transfer failure.</w:t>
      </w:r>
    </w:p>
    <w:p>
      <w:pPr>
        <w:pStyle w:val="ListNumber"/>
        <w:spacing w:before="0" w:after="40" w:line="276" w:lineRule="auto"/>
        <w:jc w:val="both"/>
      </w:pPr>
      <w:r>
        <w:rPr>
          <w:rFonts w:ascii="Times New Roman" w:hAnsi="Times New Roman"/>
          <w:b/>
          <w:i w:val="0"/>
          <w:color w:val="0B1F3A"/>
          <w:sz w:val="24"/>
        </w:rPr>
        <w:t>Two-Stage Defense-in-Depth CXR Input-Validation Gate</w:t>
      </w:r>
      <w:r>
        <w:rPr>
          <w:rFonts w:ascii="Times New Roman" w:hAnsi="Times New Roman"/>
          <w:b w:val="0"/>
          <w:i w:val="0"/>
          <w:color w:val="1E1E1E"/>
          <w:sz w:val="24"/>
        </w:rPr>
        <w:t>: Design and implement a robust input screening pipeline integrating biophysical heuristics with a deep anatomical classifier operating at a selected production threshold (</w:t>
      </w:r>
      <w:r>
        <w:rPr>
          <w:rFonts w:ascii="Times New Roman" w:hAnsi="Times New Roman"/>
          <w:b w:val="0"/>
          <w:i/>
          <w:color w:val="1E1E1E"/>
          <w:sz w:val="24"/>
        </w:rPr>
        <w:tab/>
        <w:t>au = 0.83</w:t>
      </w:r>
      <w:r>
        <w:rPr>
          <w:rFonts w:ascii="Times New Roman" w:hAnsi="Times New Roman"/>
          <w:b w:val="0"/>
          <w:i w:val="0"/>
          <w:color w:val="1E1E1E"/>
          <w:sz w:val="24"/>
        </w:rPr>
        <w:t>) to reject non-radiographic inputs.</w:t>
      </w:r>
    </w:p>
    <w:p>
      <w:pPr>
        <w:pStyle w:val="ListNumber"/>
        <w:spacing w:before="0" w:after="40" w:line="276" w:lineRule="auto"/>
        <w:jc w:val="both"/>
      </w:pPr>
      <w:r>
        <w:rPr>
          <w:rFonts w:ascii="Times New Roman" w:hAnsi="Times New Roman"/>
          <w:b/>
          <w:i w:val="0"/>
          <w:color w:val="0B1F3A"/>
          <w:sz w:val="24"/>
        </w:rPr>
        <w:t>Full-Stack Clinical Decision Support System</w:t>
      </w:r>
      <w:r>
        <w:rPr>
          <w:rFonts w:ascii="Times New Roman" w:hAnsi="Times New Roman"/>
          <w:b w:val="0"/>
          <w:i w:val="0"/>
          <w:color w:val="1E1E1E"/>
          <w:sz w:val="24"/>
        </w:rPr>
        <w:t>: Engineer an asynchronous, full-stack clinical decision-support prototype (FastAPI, React 18, SQLite) featuring real-time Grad-CAM explainability and emergency triage prioritization, verified through 44 automated software tests.</w:t>
      </w:r>
    </w:p>
    <w:p>
      <w:pPr>
        <w:pStyle w:val="Heading2"/>
        <w:keepNext/>
        <w:spacing w:before="140" w:after="60"/>
        <w:jc w:val="left"/>
      </w:pPr>
      <w:r>
        <w:rPr>
          <w:rFonts w:ascii="Times New Roman" w:hAnsi="Times New Roman"/>
          <w:b/>
          <w:color w:val="185FA5"/>
          <w:sz w:val="28"/>
        </w:rPr>
        <w:t>1.6 Thesis Contributions</w:t>
      </w:r>
    </w:p>
    <w:p>
      <w:pPr>
        <w:spacing w:before="0" w:after="70" w:line="276" w:lineRule="auto"/>
        <w:jc w:val="both"/>
      </w:pPr>
      <w:r>
        <w:rPr>
          <w:rFonts w:ascii="Times New Roman" w:hAnsi="Times New Roman"/>
          <w:b w:val="0"/>
          <w:i w:val="0"/>
          <w:color w:val="1E1E1E"/>
          <w:sz w:val="24"/>
        </w:rPr>
        <w:t>The core contributions of this research are:</w:t>
      </w:r>
    </w:p>
    <w:p>
      <w:pPr>
        <w:pStyle w:val="ListNumber"/>
        <w:spacing w:before="0" w:after="40" w:line="276" w:lineRule="auto"/>
        <w:jc w:val="both"/>
      </w:pPr>
      <w:r>
        <w:rPr>
          <w:rFonts w:ascii="Times New Roman" w:hAnsi="Times New Roman"/>
          <w:b/>
          <w:i w:val="0"/>
          <w:color w:val="0B1F3A"/>
          <w:sz w:val="24"/>
        </w:rPr>
        <w:t>Methodological Contribution</w:t>
      </w:r>
      <w:r>
        <w:rPr>
          <w:rFonts w:ascii="Times New Roman" w:hAnsi="Times New Roman"/>
          <w:b w:val="0"/>
          <w:i w:val="0"/>
          <w:color w:val="1E1E1E"/>
          <w:sz w:val="24"/>
        </w:rPr>
        <w:t>: Showing that on the evaluated V5 internal test set, deterministic biophysical frequency-aware spatial filtering outperforms complex latent domain-alignment objectives (CORAL, DANN) in suppressing high-frequency sensor shortcuts, achieving 82.93% accuracy and 0.9755 macro ROC-AUC.</w:t>
      </w:r>
    </w:p>
    <w:p>
      <w:pPr>
        <w:pStyle w:val="ListNumber"/>
        <w:spacing w:before="0" w:after="40" w:line="276" w:lineRule="auto"/>
        <w:jc w:val="both"/>
      </w:pPr>
      <w:r>
        <w:rPr>
          <w:rFonts w:ascii="Times New Roman" w:hAnsi="Times New Roman"/>
          <w:b/>
          <w:i w:val="0"/>
          <w:color w:val="0B1F3A"/>
          <w:sz w:val="24"/>
        </w:rPr>
        <w:t>Empirical Contribution</w:t>
      </w:r>
      <w:r>
        <w:rPr>
          <w:rFonts w:ascii="Times New Roman" w:hAnsi="Times New Roman"/>
          <w:b w:val="0"/>
          <w:i w:val="0"/>
          <w:color w:val="1E1E1E"/>
          <w:sz w:val="24"/>
        </w:rPr>
        <w:t>: Demonstrating that high internal validation accuracy does not prevent external domain collapse under severe scanner sensor shift, documenting the Montgomery external failure transparently.</w:t>
      </w:r>
    </w:p>
    <w:p>
      <w:pPr>
        <w:pStyle w:val="ListNumber"/>
        <w:spacing w:before="0" w:after="40" w:line="276" w:lineRule="auto"/>
        <w:jc w:val="both"/>
      </w:pPr>
      <w:r>
        <w:rPr>
          <w:rFonts w:ascii="Times New Roman" w:hAnsi="Times New Roman"/>
          <w:b/>
          <w:i w:val="0"/>
          <w:color w:val="0B1F3A"/>
          <w:sz w:val="24"/>
        </w:rPr>
        <w:t>Architectural &amp; Clinical Safety Contribution</w:t>
      </w:r>
      <w:r>
        <w:rPr>
          <w:rFonts w:ascii="Times New Roman" w:hAnsi="Times New Roman"/>
          <w:b w:val="0"/>
          <w:i w:val="0"/>
          <w:color w:val="1E1E1E"/>
          <w:sz w:val="24"/>
        </w:rPr>
        <w:t xml:space="preserve">: Developing a Two-Stage CXR Validation Gate operating at selected production threshold </w:t>
      </w:r>
      <w:r>
        <w:rPr>
          <w:rFonts w:ascii="Times New Roman" w:hAnsi="Times New Roman"/>
          <w:b w:val="0"/>
          <w:i/>
          <w:color w:val="1E1E1E"/>
          <w:sz w:val="24"/>
        </w:rPr>
        <w:tab/>
        <w:t>au = 0.83</w:t>
      </w:r>
      <w:r>
        <w:rPr>
          <w:rFonts w:ascii="Times New Roman" w:hAnsi="Times New Roman"/>
          <w:b w:val="0"/>
          <w:i w:val="0"/>
          <w:color w:val="1E1E1E"/>
          <w:sz w:val="24"/>
        </w:rPr>
        <w:t xml:space="preserve"> (selected on the evaluation cohort) that achieved 100% specificity against non-medical and cross-modality images within the evaluation cohort, reducing the risk of silent failure from non-radiographic inputs.</w:t>
      </w:r>
    </w:p>
    <w:p>
      <w:pPr>
        <w:pStyle w:val="Heading2"/>
        <w:keepNext/>
        <w:spacing w:before="140" w:after="60"/>
        <w:jc w:val="left"/>
      </w:pPr>
      <w:r>
        <w:rPr>
          <w:rFonts w:ascii="Times New Roman" w:hAnsi="Times New Roman"/>
          <w:b/>
          <w:color w:val="185FA5"/>
          <w:sz w:val="28"/>
        </w:rPr>
        <w:t>1.7 Thesis Organization</w:t>
      </w:r>
    </w:p>
    <w:p>
      <w:pPr>
        <w:spacing w:before="0" w:after="70" w:line="276" w:lineRule="auto"/>
        <w:jc w:val="both"/>
      </w:pPr>
      <w:r>
        <w:rPr>
          <w:rFonts w:ascii="Times New Roman" w:hAnsi="Times New Roman"/>
          <w:b w:val="0"/>
          <w:i w:val="0"/>
          <w:color w:val="1E1E1E"/>
          <w:sz w:val="24"/>
        </w:rPr>
        <w:t>The remainder of this dissertation is organized into 16 canonical chapters: Chapter 2 reviews relevant literature; Chapter 3 examines existing systems; Chapter 4 presents the proposed LungAI platform architecture; Chapter 5 details requirements; Chapter 6 delivers comprehensive system design; Chapter 7 documents dataset reconstruction; Chapter 8 details the Frequency-Aware DenseNet-121 architecture and the five evaluated domain generalization paradigms; Chapter 9 describes implementation; Chapter 10 showcases the user interface; Chapter 11 presents software testing (44/44 tests); Chapter 12 delivers comprehensive evaluation; Chapter 13 analyzes security and responsible AI; Chapter 14 details study limitations; Chapter 15 outlines future research; and Chapter 16 concludes the dissertation.</w:t>
      </w:r>
    </w:p>
    <w:p>
      <w:r>
        <w:br w:type="page"/>
      </w:r>
    </w:p>
    <w:p>
      <w:pPr>
        <w:pStyle w:val="Heading1"/>
        <w:keepNext/>
        <w:spacing w:before="160" w:after="120"/>
        <w:jc w:val="left"/>
      </w:pPr>
      <w:r>
        <w:rPr>
          <w:rFonts w:ascii="Times New Roman" w:hAnsi="Times New Roman"/>
          <w:b/>
          <w:color w:val="0B1F3A"/>
          <w:sz w:val="32"/>
        </w:rPr>
        <w:t>CHAPTER 2 – LITERATURE SURVEY</w:t>
      </w:r>
    </w:p>
    <w:p>
      <w:pPr>
        <w:pStyle w:val="Heading2"/>
        <w:keepNext/>
        <w:spacing w:before="140" w:after="60"/>
        <w:jc w:val="left"/>
      </w:pPr>
      <w:r>
        <w:rPr>
          <w:rFonts w:ascii="Times New Roman" w:hAnsi="Times New Roman"/>
          <w:b/>
          <w:color w:val="185FA5"/>
          <w:sz w:val="28"/>
        </w:rPr>
        <w:t>2.1 Deep Learning in Thoracic Radiography</w:t>
      </w:r>
    </w:p>
    <w:p>
      <w:pPr>
        <w:spacing w:before="0" w:after="70" w:line="276" w:lineRule="auto"/>
        <w:jc w:val="both"/>
      </w:pPr>
      <w:r>
        <w:rPr>
          <w:rFonts w:ascii="Times New Roman" w:hAnsi="Times New Roman"/>
          <w:b w:val="0"/>
          <w:i w:val="0"/>
          <w:color w:val="1E1E1E"/>
          <w:sz w:val="24"/>
        </w:rPr>
        <w:t>Automated interpretation of chest radiographs has undergone a profound evolution over the past two decades. Early computer-aided detection (CAD) systems relied on handcrafted texture descriptors, edge filters, and classical machine learning models (such as Support Vector Machines and Random Forests). While effective for isolated, high-contrast lesions, these handcrafted methods failed to capture the subtle, non-linear parenchymal variations characteristic of diffuse consolidations and early interstitial viral infections.</w:t>
      </w:r>
    </w:p>
    <w:p>
      <w:pPr>
        <w:spacing w:before="0" w:after="70" w:line="276" w:lineRule="auto"/>
        <w:jc w:val="both"/>
      </w:pPr>
      <w:r>
        <w:rPr>
          <w:rFonts w:ascii="Times New Roman" w:hAnsi="Times New Roman"/>
          <w:b w:val="0"/>
          <w:i w:val="0"/>
          <w:color w:val="1E1E1E"/>
          <w:sz w:val="24"/>
        </w:rPr>
        <w:t>The emergence of deep Convolutional Neural Networks (CNNs) revolutionized medical image analysis by enabling hierarchical end-to-end feature learning directly from raw pixel matrices [2]. Large public repositories, including NIH ChestX-ray8 / ChestX-ray14 [1], CheXpert [4], and MIMIC-CXR [5], catalyzed rapid development of automated thoracic classifiers. CheXNet demonstrated that deep architectures pre-trained on ImageNet could achieve radiologist-level area under the receiver operating characteristic curve (ROC-AUC) for pneumonia detection under closed-world test splits.</w:t>
      </w:r>
    </w:p>
    <w:p>
      <w:pPr>
        <w:pStyle w:val="Heading2"/>
        <w:keepNext/>
        <w:spacing w:before="140" w:after="60"/>
        <w:jc w:val="left"/>
      </w:pPr>
      <w:r>
        <w:rPr>
          <w:rFonts w:ascii="Times New Roman" w:hAnsi="Times New Roman"/>
          <w:b/>
          <w:color w:val="185FA5"/>
          <w:sz w:val="28"/>
        </w:rPr>
        <w:t>2.2 Convolutional Neural Network Backbones: ResNet vs. DenseNet</w:t>
      </w:r>
    </w:p>
    <w:p>
      <w:pPr>
        <w:spacing w:before="0" w:after="70" w:line="276" w:lineRule="auto"/>
        <w:jc w:val="both"/>
      </w:pPr>
      <w:r>
        <w:rPr>
          <w:rFonts w:ascii="Times New Roman" w:hAnsi="Times New Roman"/>
          <w:b w:val="0"/>
          <w:i w:val="0"/>
          <w:color w:val="1E1E1E"/>
          <w:sz w:val="24"/>
        </w:rPr>
        <w:t>Deep residual networks (ResNet), introduced by He et al. [10], addressed the vanishing gradient problem in deep architectures through identity skip connections, formulating layer mapping as residual functions:</w:t>
      </w:r>
    </w:p>
    <w:p>
      <w:pPr>
        <w:spacing w:before="60" w:after="60"/>
        <w:jc w:val="center"/>
      </w:pPr>
      <w:r>
        <w:rPr>
          <w:rFonts w:ascii="Times New Roman" w:hAnsi="Times New Roman"/>
          <w:b w:val="0"/>
          <w:i/>
          <w:color w:val="0B1F3A"/>
          <w:sz w:val="23"/>
        </w:rPr>
        <w:t>x_{l+1} = \mathcal{H}(x_l) = \mathcal{F}(x_l, \mathcal{W}_l) + x_l</w:t>
      </w:r>
    </w:p>
    <w:p>
      <w:pPr>
        <w:spacing w:before="0" w:after="70" w:line="276" w:lineRule="auto"/>
        <w:jc w:val="both"/>
      </w:pPr>
      <w:r>
        <w:rPr>
          <w:rFonts w:ascii="Times New Roman" w:hAnsi="Times New Roman"/>
          <w:b w:val="0"/>
          <w:i w:val="0"/>
          <w:color w:val="1E1E1E"/>
          <w:sz w:val="24"/>
        </w:rPr>
        <w:t>ResNet architectures, particularly ResNet50, established strong performance benchmarks across computer vision and served as the foundational backbone in pioneering thoracic AI studies. However, in medical radiography, subtle opacities and diffuse interstitial markings require multi-scale feature reuse across early, intermediate, and deep layers.</w:t>
      </w:r>
    </w:p>
    <w:p>
      <w:pPr>
        <w:spacing w:before="0" w:after="70" w:line="276" w:lineRule="auto"/>
        <w:jc w:val="both"/>
      </w:pPr>
      <w:r>
        <w:rPr>
          <w:rFonts w:ascii="Times New Roman" w:hAnsi="Times New Roman"/>
          <w:b w:val="0"/>
          <w:i w:val="0"/>
          <w:color w:val="1E1E1E"/>
          <w:sz w:val="24"/>
        </w:rPr>
        <w:t>Huang et al. [3] introduced the Densely Connected Convolutional Network (DenseNet), which modifies layer connectivity by concatenating the feature maps of all preceding layers into subsequent operations:</w:t>
      </w:r>
    </w:p>
    <w:p>
      <w:pPr>
        <w:spacing w:before="60" w:after="60"/>
        <w:jc w:val="center"/>
      </w:pPr>
      <w:r>
        <w:rPr>
          <w:rFonts w:ascii="Times New Roman" w:hAnsi="Times New Roman"/>
          <w:b w:val="0"/>
          <w:i/>
          <w:color w:val="0B1F3A"/>
          <w:sz w:val="23"/>
        </w:rPr>
        <w:t>x_l = H_l([x_0, x_1, \dots, x_{l-1}])</w:t>
      </w:r>
    </w:p>
    <w:p>
      <w:pPr>
        <w:spacing w:before="0" w:after="70" w:line="276" w:lineRule="auto"/>
        <w:jc w:val="both"/>
      </w:pPr>
      <w:r>
        <w:rPr>
          <w:rFonts w:ascii="Times New Roman" w:hAnsi="Times New Roman"/>
          <w:b w:val="0"/>
          <w:i w:val="0"/>
          <w:color w:val="1E1E1E"/>
          <w:sz w:val="24"/>
        </w:rPr>
        <w:t>This dense connectivity mechanism confers distinct advantages for chest radiography:</w:t>
      </w:r>
    </w:p>
    <w:p>
      <w:pPr>
        <w:pStyle w:val="ListNumber"/>
        <w:spacing w:before="0" w:after="40" w:line="276" w:lineRule="auto"/>
        <w:jc w:val="both"/>
      </w:pPr>
      <w:r>
        <w:rPr>
          <w:rFonts w:ascii="Times New Roman" w:hAnsi="Times New Roman"/>
          <w:b/>
          <w:i w:val="0"/>
          <w:color w:val="0B1F3A"/>
          <w:sz w:val="24"/>
        </w:rPr>
        <w:t>Direct Gradient Propagation</w:t>
      </w:r>
      <w:r>
        <w:rPr>
          <w:rFonts w:ascii="Times New Roman" w:hAnsi="Times New Roman"/>
          <w:b w:val="0"/>
          <w:i w:val="0"/>
          <w:color w:val="1E1E1E"/>
          <w:sz w:val="24"/>
        </w:rPr>
        <w:t>: Gradients from the objective function flow directly to earlier layers through short paths, mitigating vanishing gradients and stabilizing convergence.</w:t>
      </w:r>
    </w:p>
    <w:p>
      <w:pPr>
        <w:pStyle w:val="ListNumber"/>
        <w:spacing w:before="0" w:after="40" w:line="276" w:lineRule="auto"/>
        <w:jc w:val="both"/>
      </w:pPr>
      <w:r>
        <w:rPr>
          <w:rFonts w:ascii="Times New Roman" w:hAnsi="Times New Roman"/>
          <w:b/>
          <w:i w:val="0"/>
          <w:color w:val="0B1F3A"/>
          <w:sz w:val="24"/>
        </w:rPr>
        <w:t>Feature Reuse &amp; Efficiency</w:t>
      </w:r>
      <w:r>
        <w:rPr>
          <w:rFonts w:ascii="Times New Roman" w:hAnsi="Times New Roman"/>
          <w:b w:val="0"/>
          <w:i w:val="0"/>
          <w:color w:val="1E1E1E"/>
          <w:sz w:val="24"/>
        </w:rPr>
        <w:t>: Intermediate spatial representations (such as rib edges, soft-tissue boundaries, and parenchymal textures) are preserved and reused throughout the network, reducing parameter count compared to wide residual networks.</w:t>
      </w:r>
    </w:p>
    <w:p>
      <w:pPr>
        <w:pStyle w:val="ListNumber"/>
        <w:spacing w:before="0" w:after="40" w:line="276" w:lineRule="auto"/>
        <w:jc w:val="both"/>
      </w:pPr>
      <w:r>
        <w:rPr>
          <w:rFonts w:ascii="Times New Roman" w:hAnsi="Times New Roman"/>
          <w:b/>
          <w:i w:val="0"/>
          <w:color w:val="0B1F3A"/>
          <w:sz w:val="24"/>
        </w:rPr>
        <w:t>Compact Feature Bottlenecks</w:t>
      </w:r>
      <w:r>
        <w:rPr>
          <w:rFonts w:ascii="Times New Roman" w:hAnsi="Times New Roman"/>
          <w:b w:val="0"/>
          <w:i w:val="0"/>
          <w:color w:val="1E1E1E"/>
          <w:sz w:val="24"/>
        </w:rPr>
        <w:t>: DenseNet-121 achieves superior parameter efficiency (~7.0 million backbone parameters compared to ~23.5 million in ResNet50), substantially decreasing overfitting risks on moderately sized medical cohorts. Consequently, DenseNet-121 was selected as the canonical backbone for LungAI.</w:t>
      </w:r>
    </w:p>
    <w:p>
      <w:pPr>
        <w:pStyle w:val="Heading2"/>
        <w:keepNext/>
        <w:spacing w:before="140" w:after="60"/>
        <w:jc w:val="left"/>
      </w:pPr>
      <w:r>
        <w:rPr>
          <w:rFonts w:ascii="Times New Roman" w:hAnsi="Times New Roman"/>
          <w:b/>
          <w:color w:val="185FA5"/>
          <w:sz w:val="28"/>
        </w:rPr>
        <w:t>2.3 Visual Explainability &amp; Gradient-Weighted Class Activation Mapping</w:t>
      </w:r>
    </w:p>
    <w:p>
      <w:pPr>
        <w:spacing w:before="0" w:after="70" w:line="276" w:lineRule="auto"/>
        <w:jc w:val="both"/>
      </w:pPr>
      <w:r>
        <w:rPr>
          <w:rFonts w:ascii="Times New Roman" w:hAnsi="Times New Roman"/>
          <w:b w:val="0"/>
          <w:i w:val="0"/>
          <w:color w:val="1E1E1E"/>
          <w:sz w:val="24"/>
        </w:rPr>
        <w:t>A paramount barrier to clinical adoption of deep learning is the "black-box" opacity of deep neural networks. Without visual verification of the anatomical features driving a diagnostic prediction, clinicians cannot determine whether a model has identified authentic pathology or overfitted to spurious image artifacts.</w:t>
      </w:r>
    </w:p>
    <w:p>
      <w:pPr>
        <w:spacing w:before="0" w:after="70" w:line="276" w:lineRule="auto"/>
        <w:jc w:val="both"/>
      </w:pPr>
      <w:r>
        <w:rPr>
          <w:rFonts w:ascii="Times New Roman" w:hAnsi="Times New Roman"/>
          <w:b w:val="0"/>
          <w:i w:val="0"/>
          <w:color w:val="1E1E1E"/>
          <w:sz w:val="24"/>
        </w:rPr>
        <w:t xml:space="preserve">Selvaraju et al. [11] developed Gradient-weighted Class Activation Mapping (Grad-CAM), which generates coarse 2D spatial attention heatmaps highlighting the discriminative image regions utilized by a CNN. For a targeted pathological class </w:t>
      </w:r>
      <w:r>
        <w:rPr>
          <w:rFonts w:ascii="Times New Roman" w:hAnsi="Times New Roman"/>
          <w:b w:val="0"/>
          <w:i/>
          <w:color w:val="1E1E1E"/>
          <w:sz w:val="24"/>
        </w:rPr>
        <w:t>c</w:t>
      </w:r>
      <w:r>
        <w:rPr>
          <w:rFonts w:ascii="Times New Roman" w:hAnsi="Times New Roman"/>
          <w:b w:val="0"/>
          <w:i w:val="0"/>
          <w:color w:val="1E1E1E"/>
          <w:sz w:val="24"/>
        </w:rPr>
        <w:t xml:space="preserve">, the importance weight </w:t>
      </w:r>
      <w:r>
        <w:rPr>
          <w:rFonts w:ascii="Times New Roman" w:hAnsi="Times New Roman"/>
          <w:b w:val="0"/>
          <w:i/>
          <w:color w:val="1E1E1E"/>
          <w:sz w:val="24"/>
        </w:rPr>
        <w:t>lpha_k^c</w:t>
      </w:r>
      <w:r>
        <w:rPr>
          <w:rFonts w:ascii="Times New Roman" w:hAnsi="Times New Roman"/>
          <w:b w:val="0"/>
          <w:i w:val="0"/>
          <w:color w:val="1E1E1E"/>
          <w:sz w:val="24"/>
        </w:rPr>
        <w:t xml:space="preserve"> for each feature map activation </w:t>
      </w:r>
      <w:r>
        <w:rPr>
          <w:rFonts w:ascii="Times New Roman" w:hAnsi="Times New Roman"/>
          <w:b w:val="0"/>
          <w:i/>
          <w:color w:val="1E1E1E"/>
          <w:sz w:val="24"/>
        </w:rPr>
        <w:t>A^k</w:t>
      </w:r>
      <w:r>
        <w:rPr>
          <w:rFonts w:ascii="Times New Roman" w:hAnsi="Times New Roman"/>
          <w:b w:val="0"/>
          <w:i w:val="0"/>
          <w:color w:val="1E1E1E"/>
          <w:sz w:val="24"/>
        </w:rPr>
        <w:t xml:space="preserve"> in the final convolutional layer is computed by global average pooling the gradients of class score </w:t>
      </w:r>
      <w:r>
        <w:rPr>
          <w:rFonts w:ascii="Times New Roman" w:hAnsi="Times New Roman"/>
          <w:b w:val="0"/>
          <w:i/>
          <w:color w:val="1E1E1E"/>
          <w:sz w:val="24"/>
        </w:rPr>
        <w:t>y^c</w:t>
      </w:r>
      <w:r>
        <w:rPr>
          <w:rFonts w:ascii="Times New Roman" w:hAnsi="Times New Roman"/>
          <w:b w:val="0"/>
          <w:i w:val="0"/>
          <w:color w:val="1E1E1E"/>
          <w:sz w:val="24"/>
        </w:rPr>
        <w:t>:</w:t>
      </w:r>
    </w:p>
    <w:p>
      <w:pPr>
        <w:spacing w:before="0" w:after="70" w:line="276" w:lineRule="auto"/>
        <w:jc w:val="both"/>
      </w:pPr>
      <w:r>
        <w:rPr>
          <w:rFonts w:ascii="Times New Roman" w:hAnsi="Times New Roman"/>
          <w:b w:val="0"/>
          <w:i w:val="0"/>
          <w:color w:val="1E1E1E"/>
          <w:sz w:val="24"/>
        </w:rPr>
        <w:t>lpha_k^c =</w:t>
      </w:r>
    </w:p>
    <w:p>
      <w:pPr>
        <w:spacing w:before="0" w:after="70" w:line="276" w:lineRule="auto"/>
        <w:jc w:val="both"/>
      </w:pPr>
      <w:r>
        <w:rPr>
          <w:rFonts w:ascii="Times New Roman" w:hAnsi="Times New Roman"/>
          <w:b w:val="0"/>
          <w:i w:val="0"/>
          <w:color w:val="1E1E1E"/>
          <w:sz w:val="24"/>
        </w:rPr>
        <w:t>rac{1}{Z} \sum_{i=1}^{U} \sum_{j=1}^{V}</w:t>
      </w:r>
    </w:p>
    <w:p>
      <w:pPr>
        <w:spacing w:before="0" w:after="70" w:line="276" w:lineRule="auto"/>
        <w:jc w:val="both"/>
      </w:pPr>
      <w:r>
        <w:rPr>
          <w:rFonts w:ascii="Times New Roman" w:hAnsi="Times New Roman"/>
          <w:b w:val="0"/>
          <w:i w:val="0"/>
          <w:color w:val="1E1E1E"/>
          <w:sz w:val="24"/>
        </w:rPr>
        <w:t>rac{\partial y^c}{\partial A_{i,j}^k}</w:t>
      </w:r>
    </w:p>
    <w:p>
      <w:pPr>
        <w:spacing w:before="0" w:after="70" w:line="276" w:lineRule="auto"/>
        <w:jc w:val="both"/>
      </w:pPr>
      <w:r>
        <w:rPr>
          <w:rFonts w:ascii="Times New Roman" w:hAnsi="Times New Roman"/>
          <w:b w:val="0"/>
          <w:i w:val="0"/>
          <w:color w:val="1E1E1E"/>
          <w:sz w:val="24"/>
        </w:rPr>
        <w:t xml:space="preserve">The localization heatmap </w:t>
      </w:r>
      <w:r>
        <w:rPr>
          <w:rFonts w:ascii="Times New Roman" w:hAnsi="Times New Roman"/>
          <w:b w:val="0"/>
          <w:i/>
          <w:color w:val="1E1E1E"/>
          <w:sz w:val="24"/>
        </w:rPr>
        <w:t>L_{</w:t>
        <w:tab/>
        <w:t>ext{Grad-CAM}}^c</w:t>
      </w:r>
      <w:r>
        <w:rPr>
          <w:rFonts w:ascii="Times New Roman" w:hAnsi="Times New Roman"/>
          <w:b w:val="0"/>
          <w:i w:val="0"/>
          <w:color w:val="1E1E1E"/>
          <w:sz w:val="24"/>
        </w:rPr>
        <w:t xml:space="preserve"> is synthesized by calculating a rectified linear combination of feature maps:</w:t>
      </w:r>
    </w:p>
    <w:p>
      <w:pPr>
        <w:spacing w:before="0" w:after="70" w:line="276" w:lineRule="auto"/>
        <w:jc w:val="both"/>
      </w:pPr>
      <w:r>
        <w:rPr>
          <w:rFonts w:ascii="Times New Roman" w:hAnsi="Times New Roman"/>
          <w:b w:val="0"/>
          <w:i w:val="0"/>
          <w:color w:val="1E1E1E"/>
          <w:sz w:val="24"/>
        </w:rPr>
        <w:t>L_{</w:t>
        <w:tab/>
        <w:t xml:space="preserve">ext{Grad-CAM}}^c = </w:t>
        <w:tab/>
        <w:t>ext{ReLU}\left( \sum_k lpha_k^c A^k</w:t>
      </w:r>
    </w:p>
    <w:p>
      <w:pPr>
        <w:spacing w:before="0" w:after="70" w:line="276" w:lineRule="auto"/>
        <w:jc w:val="both"/>
      </w:pPr>
      <w:r>
        <w:rPr>
          <w:rFonts w:ascii="Times New Roman" w:hAnsi="Times New Roman"/>
          <w:b w:val="0"/>
          <w:i w:val="0"/>
          <w:color w:val="1E1E1E"/>
          <w:sz w:val="24"/>
        </w:rPr>
        <w:t>ight)</w:t>
      </w:r>
    </w:p>
    <w:p>
      <w:pPr>
        <w:spacing w:before="0" w:after="70" w:line="276" w:lineRule="auto"/>
        <w:jc w:val="both"/>
      </w:pPr>
      <w:r>
        <w:rPr>
          <w:rFonts w:ascii="Times New Roman" w:hAnsi="Times New Roman"/>
          <w:b w:val="0"/>
          <w:i w:val="0"/>
          <w:color w:val="1E1E1E"/>
          <w:sz w:val="24"/>
        </w:rPr>
        <w:t>Applying the Rectified Linear Unit (ReLU) ensures that only features positively contributing to the target class are visualized, suppressing non-discriminative background activations. In LungAI, Grad-CAM is extracted directly from the terminal dense block of DenseNet-121, providing clinicians with verified visual validation of disease localization.</w:t>
      </w:r>
    </w:p>
    <w:p>
      <w:pPr>
        <w:pStyle w:val="Heading2"/>
        <w:keepNext/>
        <w:spacing w:before="140" w:after="60"/>
        <w:jc w:val="left"/>
      </w:pPr>
      <w:r>
        <w:rPr>
          <w:rFonts w:ascii="Times New Roman" w:hAnsi="Times New Roman"/>
          <w:b/>
          <w:color w:val="185FA5"/>
          <w:sz w:val="28"/>
        </w:rPr>
        <w:t>2.4 Domain Shift, Confounding &amp; Shortcut Learning in Medical AI</w:t>
      </w:r>
    </w:p>
    <w:p>
      <w:pPr>
        <w:spacing w:before="0" w:after="70" w:line="276" w:lineRule="auto"/>
        <w:jc w:val="both"/>
      </w:pPr>
      <w:r>
        <w:rPr>
          <w:rFonts w:ascii="Times New Roman" w:hAnsi="Times New Roman"/>
          <w:b w:val="0"/>
          <w:i w:val="0"/>
          <w:color w:val="1E1E1E"/>
          <w:sz w:val="24"/>
        </w:rPr>
        <w:t>Despite exceptional reported accuracy on internal test sets, deep learning models frequently suffer catastrophic performance drops when evaluated across external medical centers. Zech et al. [8] demonstrated that CNNs trained on chest radiographs from multiple hospital networks learned hospital-specific radiopaque markers, department-specific digital watermarks, and scanner post-processing tags rather than true pulmonary disease patterns.</w:t>
      </w:r>
    </w:p>
    <w:p>
      <w:pPr>
        <w:spacing w:before="0" w:after="70" w:line="276" w:lineRule="auto"/>
        <w:jc w:val="both"/>
      </w:pPr>
      <w:r>
        <w:rPr>
          <w:rFonts w:ascii="Times New Roman" w:hAnsi="Times New Roman"/>
          <w:b w:val="0"/>
          <w:i w:val="0"/>
          <w:color w:val="1E1E1E"/>
          <w:sz w:val="24"/>
        </w:rPr>
        <w:t>Degrave, McCauley, and Peltier [9] conducted forensic saliency evaluations of COVID-19 detection networks, revealing that models routinely based predictions on radiographic projection markers (e.g., portable AP vs. upright PA labels) and patient positioning cushions. This phenomenon, known as shortcut learning, occurs because deep neural networks naturally exploit the simplest predictive correlation in the training distribution, even when scientifically spurious.</w:t>
      </w:r>
    </w:p>
    <w:p>
      <w:pPr>
        <w:spacing w:before="0" w:after="70" w:line="276" w:lineRule="auto"/>
        <w:jc w:val="both"/>
      </w:pPr>
      <w:r>
        <w:rPr>
          <w:rFonts w:ascii="Times New Roman" w:hAnsi="Times New Roman"/>
          <w:b w:val="0"/>
          <w:i w:val="0"/>
          <w:color w:val="1E1E1E"/>
          <w:sz w:val="24"/>
        </w:rPr>
        <w:t>Concurrently, radiographic acquisition varies widely across scanner manufacturers (e.g., GE Healthcare, Siemens Healthineers, Philips Medical), detector technology (computed radiography photostimulable phosphor plates vs. direct flat-panel amorphous silicon detectors), and digital image processing algorithms. This creates profound high-frequency noise discrepancies that disrupt standard convolutional filters.</w:t>
      </w:r>
    </w:p>
    <w:p>
      <w:pPr>
        <w:pStyle w:val="Heading2"/>
        <w:keepNext/>
        <w:spacing w:before="140" w:after="60"/>
        <w:jc w:val="left"/>
      </w:pPr>
      <w:r>
        <w:rPr>
          <w:rFonts w:ascii="Times New Roman" w:hAnsi="Times New Roman"/>
          <w:b/>
          <w:color w:val="185FA5"/>
          <w:sz w:val="28"/>
        </w:rPr>
        <w:t>2.5 Domain Generalization Frameworks</w:t>
      </w:r>
    </w:p>
    <w:p>
      <w:pPr>
        <w:spacing w:before="0" w:after="70" w:line="276" w:lineRule="auto"/>
        <w:jc w:val="both"/>
      </w:pPr>
      <w:r>
        <w:rPr>
          <w:rFonts w:ascii="Times New Roman" w:hAnsi="Times New Roman"/>
          <w:b w:val="0"/>
          <w:i w:val="0"/>
          <w:color w:val="1E1E1E"/>
          <w:sz w:val="24"/>
        </w:rPr>
        <w:t>To mitigate domain shift, two primary algorithmic paradigms have emerged:</w:t>
      </w:r>
    </w:p>
    <w:p>
      <w:pPr>
        <w:pStyle w:val="Heading3"/>
        <w:keepNext/>
        <w:spacing w:before="100" w:after="40"/>
        <w:jc w:val="left"/>
      </w:pPr>
      <w:r>
        <w:rPr>
          <w:rFonts w:ascii="Times New Roman" w:hAnsi="Times New Roman"/>
          <w:b/>
          <w:color w:val="1E1E1E"/>
          <w:sz w:val="28"/>
        </w:rPr>
        <w:t>Deep Correlation Alignment (Deep CORAL)</w:t>
      </w:r>
    </w:p>
    <w:p>
      <w:pPr>
        <w:spacing w:before="0" w:after="70" w:line="276" w:lineRule="auto"/>
        <w:jc w:val="both"/>
      </w:pPr>
      <w:r>
        <w:rPr>
          <w:rFonts w:ascii="Times New Roman" w:hAnsi="Times New Roman"/>
          <w:b w:val="0"/>
          <w:i w:val="0"/>
          <w:color w:val="1E1E1E"/>
          <w:sz w:val="24"/>
        </w:rPr>
        <w:t>Sun and Saenko [6] proposed Deep CORAL, an unsupervised domain adaptation framework that aligns the second-order statistics (covariance matrices) of latent feature representations across source and target domains without requiring target labels. The CORAL loss is defined as the Frobenius norm of the distance between feature covariance matrices:</w:t>
      </w:r>
    </w:p>
    <w:p>
      <w:pPr>
        <w:spacing w:before="0" w:after="70" w:line="276" w:lineRule="auto"/>
        <w:jc w:val="both"/>
      </w:pPr>
      <w:r>
        <w:rPr>
          <w:rFonts w:ascii="Times New Roman" w:hAnsi="Times New Roman"/>
          <w:b w:val="0"/>
          <w:i w:val="0"/>
          <w:color w:val="1E1E1E"/>
          <w:sz w:val="24"/>
        </w:rPr>
        <w:t>\mathcal{L}_{</w:t>
        <w:tab/>
        <w:t>ext{CORAL}} =</w:t>
      </w:r>
    </w:p>
    <w:p>
      <w:pPr>
        <w:spacing w:before="0" w:after="70" w:line="276" w:lineRule="auto"/>
        <w:jc w:val="both"/>
      </w:pPr>
      <w:r>
        <w:rPr>
          <w:rFonts w:ascii="Times New Roman" w:hAnsi="Times New Roman"/>
          <w:b w:val="0"/>
          <w:i w:val="0"/>
          <w:color w:val="1E1E1E"/>
          <w:sz w:val="24"/>
        </w:rPr>
        <w:t>rac{1}{4d^2} \| C_S - C_T \|_F^2</w:t>
      </w:r>
    </w:p>
    <w:p>
      <w:pPr>
        <w:spacing w:before="0" w:after="70" w:line="276" w:lineRule="auto"/>
        <w:jc w:val="both"/>
      </w:pPr>
      <w:r>
        <w:rPr>
          <w:rFonts w:ascii="Times New Roman" w:hAnsi="Times New Roman"/>
          <w:b w:val="0"/>
          <w:i w:val="0"/>
          <w:color w:val="1E1E1E"/>
          <w:sz w:val="24"/>
        </w:rPr>
        <w:t xml:space="preserve">where </w:t>
      </w:r>
      <w:r>
        <w:rPr>
          <w:rFonts w:ascii="Times New Roman" w:hAnsi="Times New Roman"/>
          <w:b w:val="0"/>
          <w:i/>
          <w:color w:val="1E1E1E"/>
          <w:sz w:val="24"/>
        </w:rPr>
        <w:t>d</w:t>
      </w:r>
      <w:r>
        <w:rPr>
          <w:rFonts w:ascii="Times New Roman" w:hAnsi="Times New Roman"/>
          <w:b w:val="0"/>
          <w:i w:val="0"/>
          <w:color w:val="1E1E1E"/>
          <w:sz w:val="24"/>
        </w:rPr>
        <w:t xml:space="preserve"> denotes feature dimension, and </w:t>
      </w:r>
      <w:r>
        <w:rPr>
          <w:rFonts w:ascii="Times New Roman" w:hAnsi="Times New Roman"/>
          <w:b w:val="0"/>
          <w:i/>
          <w:color w:val="1E1E1E"/>
          <w:sz w:val="24"/>
        </w:rPr>
        <w:t>C_S</w:t>
      </w:r>
      <w:r>
        <w:rPr>
          <w:rFonts w:ascii="Times New Roman" w:hAnsi="Times New Roman"/>
          <w:b w:val="0"/>
          <w:i w:val="0"/>
          <w:color w:val="1E1E1E"/>
          <w:sz w:val="24"/>
        </w:rPr>
        <w:t xml:space="preserve"> and </w:t>
      </w:r>
      <w:r>
        <w:rPr>
          <w:rFonts w:ascii="Times New Roman" w:hAnsi="Times New Roman"/>
          <w:b w:val="0"/>
          <w:i/>
          <w:color w:val="1E1E1E"/>
          <w:sz w:val="24"/>
        </w:rPr>
        <w:t>C_T</w:t>
      </w:r>
      <w:r>
        <w:rPr>
          <w:rFonts w:ascii="Times New Roman" w:hAnsi="Times New Roman"/>
          <w:b w:val="0"/>
          <w:i w:val="0"/>
          <w:color w:val="1E1E1E"/>
          <w:sz w:val="24"/>
        </w:rPr>
        <w:t xml:space="preserve"> are the sample covariance matrices of source and target domain features.</w:t>
      </w:r>
    </w:p>
    <w:p>
      <w:pPr>
        <w:pStyle w:val="Heading3"/>
        <w:keepNext/>
        <w:spacing w:before="100" w:after="40"/>
        <w:jc w:val="left"/>
      </w:pPr>
      <w:r>
        <w:rPr>
          <w:rFonts w:ascii="Times New Roman" w:hAnsi="Times New Roman"/>
          <w:b/>
          <w:color w:val="1E1E1E"/>
          <w:sz w:val="28"/>
        </w:rPr>
        <w:t>Domain-Adversarial Neural Networks (DANN)</w:t>
      </w:r>
    </w:p>
    <w:p>
      <w:pPr>
        <w:spacing w:before="0" w:after="70" w:line="276" w:lineRule="auto"/>
        <w:jc w:val="both"/>
      </w:pPr>
      <w:r>
        <w:rPr>
          <w:rFonts w:ascii="Times New Roman" w:hAnsi="Times New Roman"/>
          <w:b w:val="0"/>
          <w:i w:val="0"/>
          <w:color w:val="1E1E1E"/>
          <w:sz w:val="24"/>
        </w:rPr>
        <w:t>Ganin et al. [7] formulated domain adaptation as an adversarial minimax game between a feature extractor and a domain discriminator. A Gradient Reversal Layer (GRL) reverses the gradient sign during backpropagation, encouraging the feature extractor to map inputs into a representation space that maximizes disease classification accuracy while minimizing the domain discriminator's ability to distinguish acquisition sources.</w:t>
      </w:r>
    </w:p>
    <w:p>
      <w:pPr>
        <w:pStyle w:val="Heading3"/>
        <w:keepNext/>
        <w:spacing w:before="100" w:after="40"/>
        <w:jc w:val="left"/>
      </w:pPr>
      <w:r>
        <w:rPr>
          <w:rFonts w:ascii="Times New Roman" w:hAnsi="Times New Roman"/>
          <w:b/>
          <w:color w:val="1E1E1E"/>
          <w:sz w:val="28"/>
        </w:rPr>
        <w:t>Frequency-Aware Biophysical Preprocessing</w:t>
      </w:r>
    </w:p>
    <w:p>
      <w:pPr>
        <w:spacing w:before="0" w:after="70" w:line="276" w:lineRule="auto"/>
        <w:jc w:val="both"/>
      </w:pPr>
      <w:r>
        <w:rPr>
          <w:rFonts w:ascii="Times New Roman" w:hAnsi="Times New Roman"/>
          <w:b w:val="0"/>
          <w:i w:val="0"/>
          <w:color w:val="1E1E1E"/>
          <w:sz w:val="24"/>
        </w:rPr>
        <w:t>Recognizing that scanner-specific signatures predominantly reside in high-frequency pixel variations, frequency-domain filtering has emerged as an alternative to latent alignment. Applying spatial Gaussian low-pass filtering attenuates device-specific high-frequency textures while preserving lower-frequency parenchymal consolidations and anatomical contours.</w:t>
      </w:r>
    </w:p>
    <w:p>
      <w:pPr>
        <w:pStyle w:val="Heading2"/>
        <w:keepNext/>
        <w:spacing w:before="140" w:after="60"/>
        <w:jc w:val="left"/>
      </w:pPr>
      <w:r>
        <w:rPr>
          <w:rFonts w:ascii="Times New Roman" w:hAnsi="Times New Roman"/>
          <w:b/>
          <w:color w:val="185FA5"/>
          <w:sz w:val="28"/>
        </w:rPr>
        <w:t>2.6 Critical Analysis and Research Gap Identification</w:t>
      </w:r>
    </w:p>
    <w:p>
      <w:pPr>
        <w:spacing w:before="0" w:after="70" w:line="276" w:lineRule="auto"/>
        <w:jc w:val="both"/>
      </w:pPr>
      <w:r>
        <w:rPr>
          <w:rFonts w:ascii="Times New Roman" w:hAnsi="Times New Roman"/>
          <w:b w:val="0"/>
          <w:i w:val="0"/>
          <w:color w:val="1E1E1E"/>
          <w:sz w:val="24"/>
        </w:rPr>
        <w:t>While existing literature has separately explored deep architectures, domain adaptation, and explainability, substantial research gaps persist:</w:t>
      </w:r>
    </w:p>
    <w:p>
      <w:pPr>
        <w:pStyle w:val="ListNumber"/>
        <w:spacing w:before="0" w:after="40" w:line="276" w:lineRule="auto"/>
        <w:jc w:val="both"/>
      </w:pPr>
      <w:r>
        <w:rPr>
          <w:rFonts w:ascii="Times New Roman" w:hAnsi="Times New Roman"/>
          <w:b/>
          <w:i w:val="0"/>
          <w:color w:val="0B1F3A"/>
          <w:sz w:val="24"/>
        </w:rPr>
        <w:t>Pervasive Artifacts in Public Collections</w:t>
      </w:r>
      <w:r>
        <w:rPr>
          <w:rFonts w:ascii="Times New Roman" w:hAnsi="Times New Roman"/>
          <w:b w:val="0"/>
          <w:i w:val="0"/>
          <w:color w:val="1E1E1E"/>
          <w:sz w:val="24"/>
        </w:rPr>
        <w:t>: Widely used multi-class collections contain uncurated cross-modality contamination (axial CT slices), duplicate images, and patient-identity overlap across splits.</w:t>
      </w:r>
    </w:p>
    <w:p>
      <w:pPr>
        <w:pStyle w:val="ListNumber"/>
        <w:spacing w:before="0" w:after="40" w:line="276" w:lineRule="auto"/>
        <w:jc w:val="both"/>
      </w:pPr>
      <w:r>
        <w:rPr>
          <w:rFonts w:ascii="Times New Roman" w:hAnsi="Times New Roman"/>
          <w:b/>
          <w:i w:val="0"/>
          <w:color w:val="0B1F3A"/>
          <w:sz w:val="24"/>
        </w:rPr>
        <w:t>Lack of Controlled Multi-Paradigm Comparison</w:t>
      </w:r>
      <w:r>
        <w:rPr>
          <w:rFonts w:ascii="Times New Roman" w:hAnsi="Times New Roman"/>
          <w:b w:val="0"/>
          <w:i w:val="0"/>
          <w:color w:val="1E1E1E"/>
          <w:sz w:val="24"/>
        </w:rPr>
        <w:t>: Prior works rarely evaluate ERM, CORAL, DANN, and frequency-aware filtering under an identical backbone and identical patient-split benchmark.</w:t>
      </w:r>
    </w:p>
    <w:p>
      <w:pPr>
        <w:pStyle w:val="ListNumber"/>
        <w:spacing w:before="0" w:after="40" w:line="276" w:lineRule="auto"/>
        <w:jc w:val="both"/>
      </w:pPr>
      <w:r>
        <w:rPr>
          <w:rFonts w:ascii="Times New Roman" w:hAnsi="Times New Roman"/>
          <w:b/>
          <w:i w:val="0"/>
          <w:color w:val="0B1F3A"/>
          <w:sz w:val="24"/>
        </w:rPr>
        <w:t>Absence of Input Validation Gates</w:t>
      </w:r>
      <w:r>
        <w:rPr>
          <w:rFonts w:ascii="Times New Roman" w:hAnsi="Times New Roman"/>
          <w:b w:val="0"/>
          <w:i w:val="0"/>
          <w:color w:val="1E1E1E"/>
          <w:sz w:val="24"/>
        </w:rPr>
        <w:t>: Existing CAD deployments lack pre-inference validation gates, permitting non-radiographic images to produce confident disease diagnoses.</w:t>
      </w:r>
    </w:p>
    <w:p>
      <w:pPr>
        <w:spacing w:before="0" w:after="70" w:line="276" w:lineRule="auto"/>
        <w:jc w:val="both"/>
      </w:pPr>
      <w:r>
        <w:rPr>
          <w:rFonts w:ascii="Times New Roman" w:hAnsi="Times New Roman"/>
          <w:b w:val="0"/>
          <w:i w:val="0"/>
          <w:color w:val="1E1E1E"/>
          <w:sz w:val="24"/>
        </w:rPr>
        <w:t>Table 2.1 presents a systematic academic comparison of prior thoracic AI literature, detailing how each informed the design of LungAI.</w:t>
      </w:r>
    </w:p>
    <w:p>
      <w:pPr>
        <w:keepNext/>
        <w:spacing w:before="120" w:after="40"/>
        <w:jc w:val="center"/>
      </w:pPr>
      <w:r>
        <w:rPr>
          <w:rFonts w:ascii="Times New Roman" w:hAnsi="Times New Roman"/>
          <w:b/>
          <w:color w:val="0B1F3A"/>
          <w:sz w:val="22"/>
        </w:rPr>
        <w:t>Table 2.1:</w:t>
      </w:r>
      <w:r>
        <w:rPr>
          <w:rFonts w:ascii="Times New Roman" w:hAnsi="Times New Roman"/>
          <w:b w:val="0"/>
          <w:color w:val="1E1E1E"/>
          <w:sz w:val="22"/>
        </w:rPr>
        <w:t xml:space="preserve"> Systematic Comparison of Prior Thoracic AI Literature and Methodological Influence on LungAI</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Study &amp; Reference</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Algorithm &amp; Backbone</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Dataset &amp; Scope</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Reported Results</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Primary Limitation</w:t>
            </w:r>
          </w:p>
        </w:tc>
        <w:tc>
          <w:tcPr>
            <w:tcW w:type="dxa" w:w="172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Informed LungAI By</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Wang et al. (2017) [1]</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ResNet-50 / DenseNet-121</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NIH ChestX-ray14 (112,120 CXRs)</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Mean ROC-AUC: 0.745 across 14 thoracic findings</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NLP text-mined labels contain ~10-15% error rate; severe class imbalance</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Highlighted need for verified labels and patient-level splitting</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Rajpurkar et al. (2017) [2]</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CheXNet (DenseNet-121)</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NIH ChestX-ray14 (Pneumonia vs. All)</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Pneumonia ROC-AUC: 0.8887; claimed exceeding average radiologist</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Evaluated on single-source split; does not assess cross-hospital generalization</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Established DenseNet-121 as primary architectural foundation</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Huang et al. (2017) [3]</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DenseNet Architecture</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CIFAR-10, CIFAR-100, ImageNet</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Established dense connectivity, feature reuse and parameter-efficient representation learning</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General computer vision benchmark; no medical radiograph evaluation</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Provided dense connectivity formulation for multi-scale feature reuse</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Irvin et al. (2019) [4]</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CheXpert DenseNet-121</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CheXpert (224,316 CXRs, 65,240 patients)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Mean ROC-AUC: 0.930 across 5 selected thoracic conditions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Uncertainty label policies affect performance; no input gate validation</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Informed multi-class evaluation and weighted macro-metric formulation</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Johnson et al. (2019) [5]</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Large-Scale Public Multi-Label CXR Benchmark</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MIMIC-CXR (377,110 radiographs)</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Established publicly available benchmark of 377,110 radiographs with NLP radiologic labels</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Large-scale multi-label collection; requires careful preprocessing to address label noise</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Emphasized necessity of rigorous data curation and deterministic planar preprocessing</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Sun &amp; Saenko (2016) [6]</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Deep CORAL (Covariance Alignment)</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Office-31 domain adaptation benchmark</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Unsupervised domain adaptation accuracy: 77.7% on standard benchmarks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Second-order alignment assumes Gaussian distributed latent feature space</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Directly implemented as one of five comparative benchmark paradigms</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Ganin et al. (2016) [7]</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DANN (Gradient Reversal Layer)</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MNIST, SVHN, Office domain adaptation</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Adversarial domain invariance; domain classification reduced to random chance</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Adversarial minimax game exhibits training instability and mode collapse</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Directly implemented as comparative adversarial domain adaptation paradigm</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Zech et al. (2018) [8]</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CNN Hospital Generalization</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Multi-Hospital CXR (Mount Sinai, NIH, Indiana)</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Internal AUC: 0.84-0.89; external cross-hospital AUC dropped to 0.75-0.78</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Identified hospital-specific metal markers and post-processing shortcuts</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Motivated cross-source generalization audit and frequency filtering</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DeGrave et al. (2021) [9]</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Saliency Forensic Audit of COVID-19 CNNs</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Multi-Source Public COVID-19 Radiograph Repositories</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Demonstrated that deep models relied on non-pathological image markers and border padding</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Demonstrated that high internal accuracy can mask catastrophic shortcut learning</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Informed requirement for Grad-CAM visual verification and frequency filtering</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Selvaraju et al. (2017) [11]</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Grad-CAM (Visual Explanations)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ImageNet, VQA, Captioning benchmarks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High localization resolution without architectural modifications or retraining</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Resolution bounded by final convolutional feature map spatial dimensions (7x7)</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Integrated into LungAI inference pipeline for real-time visual saliency</w:t>
            </w:r>
          </w:p>
        </w:tc>
      </w:tr>
    </w:tbl>
    <w:p>
      <w:pPr>
        <w:spacing w:before="0" w:after="80"/>
      </w:pPr>
    </w:p>
    <w:p>
      <w:r>
        <w:br w:type="page"/>
      </w:r>
    </w:p>
    <w:p>
      <w:pPr>
        <w:pStyle w:val="Heading1"/>
        <w:keepNext/>
        <w:spacing w:before="160" w:after="120"/>
        <w:jc w:val="left"/>
      </w:pPr>
      <w:r>
        <w:rPr>
          <w:rFonts w:ascii="Times New Roman" w:hAnsi="Times New Roman"/>
          <w:b/>
          <w:color w:val="0B1F3A"/>
          <w:sz w:val="32"/>
        </w:rPr>
        <w:t>CHAPTER 3 – EXISTING SYSTEM</w:t>
      </w:r>
    </w:p>
    <w:p>
      <w:pPr>
        <w:pStyle w:val="Heading2"/>
        <w:keepNext/>
        <w:spacing w:before="140" w:after="60"/>
        <w:jc w:val="left"/>
      </w:pPr>
      <w:r>
        <w:rPr>
          <w:rFonts w:ascii="Times New Roman" w:hAnsi="Times New Roman"/>
          <w:b/>
          <w:color w:val="185FA5"/>
          <w:sz w:val="28"/>
        </w:rPr>
        <w:t>3.1 Overview of Conventional Chest Radiography Workflows</w:t>
      </w:r>
    </w:p>
    <w:p>
      <w:pPr>
        <w:spacing w:before="0" w:after="70" w:line="276" w:lineRule="auto"/>
        <w:jc w:val="both"/>
      </w:pPr>
      <w:r>
        <w:rPr>
          <w:rFonts w:ascii="Times New Roman" w:hAnsi="Times New Roman"/>
          <w:b w:val="0"/>
          <w:i w:val="0"/>
          <w:color w:val="1E1E1E"/>
          <w:sz w:val="24"/>
        </w:rPr>
        <w:t>In conventional healthcare operations, the diagnostic interpretation of chest radiographs relies entirely on human clinical expertise. Following image acquisition by a radiologic technologist, studies are transmitted via DICOM protocols to local Picture Archiving and Communication Systems (PACS). Diagnostic interpretation is subsequently performed by certified radiologists or attending medical officers on specialized high-luminance diagnostic displays.</w:t>
      </w:r>
    </w:p>
    <w:p>
      <w:pPr>
        <w:spacing w:before="0" w:after="70" w:line="276" w:lineRule="auto"/>
        <w:jc w:val="both"/>
      </w:pPr>
      <w:r>
        <w:rPr>
          <w:rFonts w:ascii="Times New Roman" w:hAnsi="Times New Roman"/>
          <w:b w:val="0"/>
          <w:i w:val="0"/>
          <w:color w:val="1E1E1E"/>
          <w:sz w:val="24"/>
        </w:rPr>
        <w:t>While human expertise remains the undisputed clinical gold standard, the conventional operational workflow faces acute structural limitations:</w:t>
      </w:r>
    </w:p>
    <w:p>
      <w:pPr>
        <w:pStyle w:val="ListNumber"/>
        <w:spacing w:before="0" w:after="40" w:line="276" w:lineRule="auto"/>
        <w:jc w:val="both"/>
      </w:pPr>
      <w:r>
        <w:rPr>
          <w:rFonts w:ascii="Times New Roman" w:hAnsi="Times New Roman"/>
          <w:b/>
          <w:i w:val="0"/>
          <w:color w:val="0B1F3A"/>
          <w:sz w:val="24"/>
        </w:rPr>
        <w:t>Unprioritized FIFO Queuing</w:t>
      </w:r>
      <w:r>
        <w:rPr>
          <w:rFonts w:ascii="Times New Roman" w:hAnsi="Times New Roman"/>
          <w:b w:val="0"/>
          <w:i w:val="0"/>
          <w:color w:val="1E1E1E"/>
          <w:sz w:val="24"/>
        </w:rPr>
        <w:t>: PACS worklists operate strictly on study arrival timestamp. Studies presenting life-threatening acute consolidations or bilateral pleural effusions sit in the identical queue alongside routine screening examinations, creating clinical turnaround delays of 24 to 72 hours.</w:t>
      </w:r>
    </w:p>
    <w:p>
      <w:pPr>
        <w:pStyle w:val="ListNumber"/>
        <w:spacing w:before="0" w:after="40" w:line="276" w:lineRule="auto"/>
        <w:jc w:val="both"/>
      </w:pPr>
      <w:r>
        <w:rPr>
          <w:rFonts w:ascii="Times New Roman" w:hAnsi="Times New Roman"/>
          <w:b/>
          <w:i w:val="0"/>
          <w:color w:val="0B1F3A"/>
          <w:sz w:val="24"/>
        </w:rPr>
        <w:t>Cognitive Fatigue &amp; Perceptual Error</w:t>
      </w:r>
      <w:r>
        <w:rPr>
          <w:rFonts w:ascii="Times New Roman" w:hAnsi="Times New Roman"/>
          <w:b w:val="0"/>
          <w:i w:val="0"/>
          <w:color w:val="1E1E1E"/>
          <w:sz w:val="24"/>
        </w:rPr>
        <w:t>: Visual fatigue during prolonged diagnostic reading shifts leads to documented diagnostic error rates of 15% to 30%, manifesting as missed apical pulmonary lesions or false-negative nodule readings.</w:t>
      </w:r>
    </w:p>
    <w:p>
      <w:pPr>
        <w:pStyle w:val="ListNumber"/>
        <w:spacing w:before="0" w:after="40" w:line="276" w:lineRule="auto"/>
        <w:jc w:val="both"/>
      </w:pPr>
      <w:r>
        <w:rPr>
          <w:rFonts w:ascii="Times New Roman" w:hAnsi="Times New Roman"/>
          <w:b/>
          <w:i w:val="0"/>
          <w:color w:val="0B1F3A"/>
          <w:sz w:val="24"/>
        </w:rPr>
        <w:t>Diagnostic Disparities in Resource-Limited Settings</w:t>
      </w:r>
      <w:r>
        <w:rPr>
          <w:rFonts w:ascii="Times New Roman" w:hAnsi="Times New Roman"/>
          <w:b w:val="0"/>
          <w:i w:val="0"/>
          <w:color w:val="1E1E1E"/>
          <w:sz w:val="24"/>
        </w:rPr>
        <w:t>: In peripheral clinics and rural district hospitals, certified radiologists are absent on-site. General practitioners and medical officers must interpret complex thoracic images without specialist decision support.</w:t>
      </w:r>
    </w:p>
    <w:p>
      <w:pPr>
        <w:pStyle w:val="Heading2"/>
        <w:keepNext/>
        <w:spacing w:before="140" w:after="60"/>
        <w:jc w:val="left"/>
      </w:pPr>
      <w:r>
        <w:rPr>
          <w:rFonts w:ascii="Times New Roman" w:hAnsi="Times New Roman"/>
          <w:b/>
          <w:color w:val="185FA5"/>
          <w:sz w:val="28"/>
        </w:rPr>
        <w:t>3.2 Limitations of Commercial and Open-Source CAD Solutions</w:t>
      </w:r>
    </w:p>
    <w:p>
      <w:pPr>
        <w:spacing w:before="0" w:after="70" w:line="276" w:lineRule="auto"/>
        <w:jc w:val="both"/>
      </w:pPr>
      <w:r>
        <w:rPr>
          <w:rFonts w:ascii="Times New Roman" w:hAnsi="Times New Roman"/>
          <w:b w:val="0"/>
          <w:i w:val="0"/>
          <w:color w:val="1E1E1E"/>
          <w:sz w:val="24"/>
        </w:rPr>
        <w:t>Over the past decade, numerous Computer-Aided Detection (CAD) systems and academic deep learning classifiers have been introduced. However, existing solutions exhibit critical structural shortcomings:</w:t>
      </w:r>
    </w:p>
    <w:p>
      <w:pPr>
        <w:pStyle w:val="ListNumber"/>
        <w:spacing w:before="0" w:after="40" w:line="276" w:lineRule="auto"/>
        <w:jc w:val="both"/>
      </w:pPr>
      <w:r>
        <w:rPr>
          <w:rFonts w:ascii="Times New Roman" w:hAnsi="Times New Roman"/>
          <w:b/>
          <w:i w:val="0"/>
          <w:color w:val="0B1F3A"/>
          <w:sz w:val="24"/>
        </w:rPr>
        <w:t>Closed-World Single-Center Overfitting</w:t>
      </w:r>
      <w:r>
        <w:rPr>
          <w:rFonts w:ascii="Times New Roman" w:hAnsi="Times New Roman"/>
          <w:b w:val="0"/>
          <w:i w:val="0"/>
          <w:color w:val="1E1E1E"/>
          <w:sz w:val="24"/>
        </w:rPr>
        <w:t>: Most commercial and open-source models are developed on radiographs acquired from a single hospital network or scanner vendor. When deployed in clinical environments utilizing different acquisition parameters, classification performance degrades precipitously.</w:t>
      </w:r>
    </w:p>
    <w:p>
      <w:pPr>
        <w:pStyle w:val="ListNumber"/>
        <w:spacing w:before="0" w:after="40" w:line="276" w:lineRule="auto"/>
        <w:jc w:val="both"/>
      </w:pPr>
      <w:r>
        <w:rPr>
          <w:rFonts w:ascii="Times New Roman" w:hAnsi="Times New Roman"/>
          <w:b/>
          <w:i w:val="0"/>
          <w:color w:val="0B1F3A"/>
          <w:sz w:val="24"/>
        </w:rPr>
        <w:t>Vulnerability to Out-of-Distribution Inputs</w:t>
      </w:r>
      <w:r>
        <w:rPr>
          <w:rFonts w:ascii="Times New Roman" w:hAnsi="Times New Roman"/>
          <w:b w:val="0"/>
          <w:i w:val="0"/>
          <w:color w:val="1E1E1E"/>
          <w:sz w:val="24"/>
        </w:rPr>
        <w:t>: Standard deep neural networks are "silent failures"—they output confident, high-probability thoracic disease predictions when presented with non-radiographic imagery, corrupt uploads, or non-thoracic scans (such as abdominal CT or lateral skull views).</w:t>
      </w:r>
    </w:p>
    <w:p>
      <w:pPr>
        <w:pStyle w:val="ListNumber"/>
        <w:spacing w:before="0" w:after="40" w:line="276" w:lineRule="auto"/>
        <w:jc w:val="both"/>
      </w:pPr>
      <w:r>
        <w:rPr>
          <w:rFonts w:ascii="Times New Roman" w:hAnsi="Times New Roman"/>
          <w:b/>
          <w:i w:val="0"/>
          <w:color w:val="0B1F3A"/>
          <w:sz w:val="24"/>
        </w:rPr>
        <w:t>Absence of Real-Time Visual Explainability</w:t>
      </w:r>
      <w:r>
        <w:rPr>
          <w:rFonts w:ascii="Times New Roman" w:hAnsi="Times New Roman"/>
          <w:b w:val="0"/>
          <w:i w:val="0"/>
          <w:color w:val="1E1E1E"/>
          <w:sz w:val="24"/>
        </w:rPr>
        <w:t>: Many CAD implementations function as opaque numerical prediction engines, outputting a class label and scalar probability without spatial lesion localization. Clinicians cannot verify whether the model attended to pathological tissue or spurious background artifacts.</w:t>
      </w:r>
    </w:p>
    <w:p>
      <w:pPr>
        <w:pStyle w:val="ListNumber"/>
        <w:spacing w:before="0" w:after="40" w:line="276" w:lineRule="auto"/>
        <w:jc w:val="both"/>
      </w:pPr>
      <w:r>
        <w:rPr>
          <w:rFonts w:ascii="Times New Roman" w:hAnsi="Times New Roman"/>
          <w:b/>
          <w:i w:val="0"/>
          <w:color w:val="0B1F3A"/>
          <w:sz w:val="24"/>
        </w:rPr>
        <w:t>Complex, Heavyweight Deployments</w:t>
      </w:r>
      <w:r>
        <w:rPr>
          <w:rFonts w:ascii="Times New Roman" w:hAnsi="Times New Roman"/>
          <w:b w:val="0"/>
          <w:i w:val="0"/>
          <w:color w:val="1E1E1E"/>
          <w:sz w:val="24"/>
        </w:rPr>
        <w:t>: Commercial systems frequently mandate specialized on-premise GPU clusters, proprietary PACS plugins, or high-latency cloud processing pipelines that cannot operate on edge clinical workstations.</w:t>
      </w:r>
    </w:p>
    <w:p>
      <w:pPr>
        <w:pStyle w:val="Heading2"/>
        <w:keepNext/>
        <w:spacing w:before="140" w:after="60"/>
        <w:jc w:val="left"/>
      </w:pPr>
      <w:r>
        <w:rPr>
          <w:rFonts w:ascii="Times New Roman" w:hAnsi="Times New Roman"/>
          <w:b/>
          <w:color w:val="185FA5"/>
          <w:sz w:val="28"/>
        </w:rPr>
        <w:t>3.3 The Cross-Source Generalization Bottleneck</w:t>
      </w:r>
    </w:p>
    <w:p>
      <w:pPr>
        <w:spacing w:before="0" w:after="70" w:line="276" w:lineRule="auto"/>
        <w:jc w:val="both"/>
      </w:pPr>
      <w:r>
        <w:rPr>
          <w:rFonts w:ascii="Times New Roman" w:hAnsi="Times New Roman"/>
          <w:b w:val="0"/>
          <w:i w:val="0"/>
          <w:color w:val="1E1E1E"/>
          <w:sz w:val="24"/>
        </w:rPr>
        <w:t>The primary scientific failure mode of existing thoracic AI is the cross-source generalization bottleneck. Convolutional neural networks possess enormous representational capacity, enabling them to discover subtle high-frequency correlations between scanner-specific post-processing filters and disease labels. For example, if a training dataset acquires the majority of its severe pneumonia cases from an intensive care unit utilizing portable computed radiography (CR) scanners, the network will learn to detect the high-frequency detector noise of the portable scanner rather than the alveolar consolidation.</w:t>
      </w:r>
    </w:p>
    <w:p>
      <w:pPr>
        <w:spacing w:before="0" w:after="70" w:line="276" w:lineRule="auto"/>
        <w:jc w:val="both"/>
      </w:pPr>
      <w:r>
        <w:rPr>
          <w:rFonts w:ascii="Times New Roman" w:hAnsi="Times New Roman"/>
          <w:b w:val="0"/>
          <w:i w:val="0"/>
          <w:color w:val="1E1E1E"/>
          <w:sz w:val="24"/>
        </w:rPr>
        <w:t>When the trained model is subsequently evaluated on images from an outpatient direct digital radiography (DR) system, the portable scanner shortcut is absent, causing classification accuracy to collapse. Existing commercial solutions address this solely by collecting vast proprietary training datasets, which remains prohibitively expensive and legally challenging across healthcare jurisdictions.</w:t>
      </w:r>
    </w:p>
    <w:p>
      <w:pPr>
        <w:pStyle w:val="Heading2"/>
        <w:keepNext/>
        <w:spacing w:before="140" w:after="60"/>
        <w:jc w:val="left"/>
      </w:pPr>
      <w:r>
        <w:rPr>
          <w:rFonts w:ascii="Times New Roman" w:hAnsi="Times New Roman"/>
          <w:b/>
          <w:color w:val="185FA5"/>
          <w:sz w:val="28"/>
        </w:rPr>
        <w:t>3.4 Summary of Gaps in Existing Practice</w:t>
      </w:r>
    </w:p>
    <w:p>
      <w:pPr>
        <w:spacing w:before="0" w:after="70" w:line="276" w:lineRule="auto"/>
        <w:jc w:val="both"/>
      </w:pPr>
      <w:r>
        <w:rPr>
          <w:rFonts w:ascii="Times New Roman" w:hAnsi="Times New Roman"/>
          <w:b w:val="0"/>
          <w:i w:val="0"/>
          <w:color w:val="1E1E1E"/>
          <w:sz w:val="24"/>
        </w:rPr>
        <w:t>Existing thoracic imaging workflows and computational CAD tools present four acute unresolved gaps:</w:t>
      </w:r>
    </w:p>
    <w:p>
      <w:pPr>
        <w:pStyle w:val="ListBullet"/>
        <w:spacing w:before="0" w:after="40" w:line="276" w:lineRule="auto"/>
        <w:jc w:val="both"/>
      </w:pPr>
      <w:r>
        <w:rPr>
          <w:rFonts w:ascii="Times New Roman" w:hAnsi="Times New Roman"/>
          <w:b/>
          <w:i w:val="0"/>
          <w:color w:val="0B1F3A"/>
          <w:sz w:val="24"/>
        </w:rPr>
        <w:t>Gap 1</w:t>
      </w:r>
      <w:r>
        <w:rPr>
          <w:rFonts w:ascii="Times New Roman" w:hAnsi="Times New Roman"/>
          <w:b w:val="0"/>
          <w:i w:val="0"/>
          <w:color w:val="1E1E1E"/>
          <w:sz w:val="24"/>
        </w:rPr>
        <w:t>: Absence of standardized, leak-free, multi-source benchmarks audited for cross-modality contamination.</w:t>
      </w:r>
    </w:p>
    <w:p>
      <w:pPr>
        <w:pStyle w:val="ListBullet"/>
        <w:spacing w:before="0" w:after="40" w:line="276" w:lineRule="auto"/>
        <w:jc w:val="both"/>
      </w:pPr>
      <w:r>
        <w:rPr>
          <w:rFonts w:ascii="Times New Roman" w:hAnsi="Times New Roman"/>
          <w:b/>
          <w:i w:val="0"/>
          <w:color w:val="0B1F3A"/>
          <w:sz w:val="24"/>
        </w:rPr>
        <w:t>Gap 2</w:t>
      </w:r>
      <w:r>
        <w:rPr>
          <w:rFonts w:ascii="Times New Roman" w:hAnsi="Times New Roman"/>
          <w:b w:val="0"/>
          <w:i w:val="0"/>
          <w:color w:val="1E1E1E"/>
          <w:sz w:val="24"/>
        </w:rPr>
        <w:t>: Lack of systematic comparative evidence regarding the efficacy of latent domain adaptation versus biophysical frequency-aware preprocessing.</w:t>
      </w:r>
    </w:p>
    <w:p>
      <w:pPr>
        <w:pStyle w:val="ListBullet"/>
        <w:spacing w:before="0" w:after="40" w:line="276" w:lineRule="auto"/>
        <w:jc w:val="both"/>
      </w:pPr>
      <w:r>
        <w:rPr>
          <w:rFonts w:ascii="Times New Roman" w:hAnsi="Times New Roman"/>
          <w:b/>
          <w:i w:val="0"/>
          <w:color w:val="0B1F3A"/>
          <w:sz w:val="24"/>
        </w:rPr>
        <w:t>Gap 3</w:t>
      </w:r>
      <w:r>
        <w:rPr>
          <w:rFonts w:ascii="Times New Roman" w:hAnsi="Times New Roman"/>
          <w:b w:val="0"/>
          <w:i w:val="0"/>
          <w:color w:val="1E1E1E"/>
          <w:sz w:val="24"/>
        </w:rPr>
        <w:t>: Critical deficiency in automated, defense-in-depth input validation gates to intercept invalid uploads before deep inference.</w:t>
      </w:r>
    </w:p>
    <w:p>
      <w:pPr>
        <w:pStyle w:val="ListBullet"/>
        <w:spacing w:before="0" w:after="40" w:line="276" w:lineRule="auto"/>
        <w:jc w:val="both"/>
      </w:pPr>
      <w:r>
        <w:rPr>
          <w:rFonts w:ascii="Times New Roman" w:hAnsi="Times New Roman"/>
          <w:b/>
          <w:i w:val="0"/>
          <w:color w:val="0B1F3A"/>
          <w:sz w:val="24"/>
        </w:rPr>
        <w:t>Gap 4</w:t>
      </w:r>
      <w:r>
        <w:rPr>
          <w:rFonts w:ascii="Times New Roman" w:hAnsi="Times New Roman"/>
          <w:b w:val="0"/>
          <w:i w:val="0"/>
          <w:color w:val="1E1E1E"/>
          <w:sz w:val="24"/>
        </w:rPr>
        <w:t>: Shortage of lightweight, asynchronous clinical decision-support architectures capable of delivering real-time predictions, Grad-CAM explainability, and triage classification on local clinical hardware.</w:t>
      </w:r>
    </w:p>
    <w:p>
      <w:r>
        <w:br w:type="page"/>
      </w:r>
    </w:p>
    <w:p>
      <w:pPr>
        <w:pStyle w:val="Heading1"/>
        <w:keepNext/>
        <w:spacing w:before="160" w:after="120"/>
        <w:jc w:val="left"/>
      </w:pPr>
      <w:r>
        <w:rPr>
          <w:rFonts w:ascii="Times New Roman" w:hAnsi="Times New Roman"/>
          <w:b/>
          <w:color w:val="0B1F3A"/>
          <w:sz w:val="32"/>
        </w:rPr>
        <w:t>CHAPTER 4 – PROPOSED SYSTEM</w:t>
      </w:r>
    </w:p>
    <w:p>
      <w:pPr>
        <w:pStyle w:val="Heading2"/>
        <w:keepNext/>
        <w:spacing w:before="140" w:after="60"/>
        <w:jc w:val="left"/>
      </w:pPr>
      <w:r>
        <w:rPr>
          <w:rFonts w:ascii="Times New Roman" w:hAnsi="Times New Roman"/>
          <w:b/>
          <w:color w:val="185FA5"/>
          <w:sz w:val="28"/>
        </w:rPr>
        <w:t>4.1 System Overview and Architectural Philosophy</w:t>
      </w:r>
    </w:p>
    <w:p>
      <w:pPr>
        <w:spacing w:before="0" w:after="70" w:line="276" w:lineRule="auto"/>
        <w:jc w:val="both"/>
      </w:pPr>
      <w:r>
        <w:rPr>
          <w:rFonts w:ascii="Times New Roman" w:hAnsi="Times New Roman"/>
          <w:b w:val="0"/>
          <w:i w:val="0"/>
          <w:color w:val="1E1E1E"/>
          <w:sz w:val="24"/>
        </w:rPr>
        <w:t xml:space="preserve">To overcome the fundamental limitations of conventional radiology workflows and existing CAD algorithms, this dissertation introduces </w:t>
      </w:r>
      <w:r>
        <w:rPr>
          <w:rFonts w:ascii="Times New Roman" w:hAnsi="Times New Roman"/>
          <w:b/>
          <w:i w:val="0"/>
          <w:color w:val="0B1F3A"/>
          <w:sz w:val="24"/>
        </w:rPr>
        <w:t>LungAI</w:t>
      </w:r>
      <w:r>
        <w:rPr>
          <w:rFonts w:ascii="Times New Roman" w:hAnsi="Times New Roman"/>
          <w:b w:val="0"/>
          <w:i w:val="0"/>
          <w:color w:val="1E1E1E"/>
          <w:sz w:val="24"/>
        </w:rPr>
        <w:t>: a robust, full-stack, clinical decision-support ecosystem for multi-class thoracic disease detection and triage.</w:t>
      </w:r>
    </w:p>
    <w:p>
      <w:pPr>
        <w:spacing w:before="0" w:after="70" w:line="276" w:lineRule="auto"/>
        <w:jc w:val="both"/>
      </w:pPr>
      <w:r>
        <w:rPr>
          <w:rFonts w:ascii="Times New Roman" w:hAnsi="Times New Roman"/>
          <w:b w:val="0"/>
          <w:i w:val="0"/>
          <w:color w:val="1E1E1E"/>
          <w:sz w:val="24"/>
        </w:rPr>
        <w:t>The design of LungAI is anchored in three core architectural principles:</w:t>
      </w:r>
    </w:p>
    <w:p>
      <w:pPr>
        <w:pStyle w:val="ListNumber"/>
        <w:spacing w:before="0" w:after="40" w:line="276" w:lineRule="auto"/>
        <w:jc w:val="both"/>
      </w:pPr>
      <w:r>
        <w:rPr>
          <w:rFonts w:ascii="Times New Roman" w:hAnsi="Times New Roman"/>
          <w:b/>
          <w:i w:val="0"/>
          <w:color w:val="0B1F3A"/>
          <w:sz w:val="24"/>
        </w:rPr>
        <w:t>Safety-First Defensive Ingestion</w:t>
      </w:r>
      <w:r>
        <w:rPr>
          <w:rFonts w:ascii="Times New Roman" w:hAnsi="Times New Roman"/>
          <w:b w:val="0"/>
          <w:i w:val="0"/>
          <w:color w:val="1E1E1E"/>
          <w:sz w:val="24"/>
        </w:rPr>
        <w:t>: The system rejects the dangerous assumption that all ingested images are valid chest radiographs. It implements a Two-Stage Defense-in-Depth Validation Gate that filters out non-radiographic imagery, corrupt files, and axial CT scans before neural inference.</w:t>
      </w:r>
    </w:p>
    <w:p>
      <w:pPr>
        <w:pStyle w:val="ListNumber"/>
        <w:spacing w:before="0" w:after="40" w:line="276" w:lineRule="auto"/>
        <w:jc w:val="both"/>
      </w:pPr>
      <w:r>
        <w:rPr>
          <w:rFonts w:ascii="Times New Roman" w:hAnsi="Times New Roman"/>
          <w:b/>
          <w:i w:val="0"/>
          <w:color w:val="0B1F3A"/>
          <w:sz w:val="24"/>
        </w:rPr>
        <w:t>Biophysical Frequency-Aware Robustness</w:t>
      </w:r>
      <w:r>
        <w:rPr>
          <w:rFonts w:ascii="Times New Roman" w:hAnsi="Times New Roman"/>
          <w:b w:val="0"/>
          <w:i w:val="0"/>
          <w:color w:val="1E1E1E"/>
          <w:sz w:val="24"/>
        </w:rPr>
        <w:t>: Rather than relying exclusively on complex latent domain-alignment losses, LungAI incorporates biophysical spatial low-pass filtering to attenuate scanner-specific high-frequency shortcuts directly in pixel space, ensuring robust cross-source feature extraction.</w:t>
      </w:r>
    </w:p>
    <w:p>
      <w:pPr>
        <w:pStyle w:val="ListNumber"/>
        <w:spacing w:before="0" w:after="40" w:line="276" w:lineRule="auto"/>
        <w:jc w:val="both"/>
      </w:pPr>
      <w:r>
        <w:rPr>
          <w:rFonts w:ascii="Times New Roman" w:hAnsi="Times New Roman"/>
          <w:b/>
          <w:i w:val="0"/>
          <w:color w:val="0B1F3A"/>
          <w:sz w:val="24"/>
        </w:rPr>
        <w:t>Transparent Clinician-in-the-Loop Decision Support</w:t>
      </w:r>
      <w:r>
        <w:rPr>
          <w:rFonts w:ascii="Times New Roman" w:hAnsi="Times New Roman"/>
          <w:b w:val="0"/>
          <w:i w:val="0"/>
          <w:color w:val="1E1E1E"/>
          <w:sz w:val="24"/>
        </w:rPr>
        <w:t>: LungAI functions strictly as an assistive second-reader and triage tool. It delivers predicted class probabilities, emergency triage classifications, and real-time Grad-CAM visual attention overlays, providing clinicians with immediate visual verification of predicted abnormalities.</w:t>
      </w:r>
    </w:p>
    <w:p>
      <w:pPr>
        <w:pStyle w:val="Heading2"/>
        <w:keepNext/>
        <w:spacing w:before="140" w:after="60"/>
        <w:jc w:val="left"/>
      </w:pPr>
      <w:r>
        <w:rPr>
          <w:rFonts w:ascii="Times New Roman" w:hAnsi="Times New Roman"/>
          <w:b/>
          <w:color w:val="185FA5"/>
          <w:sz w:val="28"/>
        </w:rPr>
        <w:t>4.2 End-to-End Diagnostic Pipeline</w:t>
      </w:r>
    </w:p>
    <w:p>
      <w:pPr>
        <w:spacing w:before="0" w:after="70" w:line="276" w:lineRule="auto"/>
        <w:jc w:val="both"/>
      </w:pPr>
      <w:r>
        <w:rPr>
          <w:rFonts w:ascii="Times New Roman" w:hAnsi="Times New Roman"/>
          <w:b w:val="0"/>
          <w:i w:val="0"/>
          <w:color w:val="1E1E1E"/>
          <w:sz w:val="24"/>
        </w:rPr>
        <w:t>The LungAI diagnostic pipeline operates through seven coordinated, sequential stages:</w:t>
      </w:r>
    </w:p>
    <w:p>
      <w:pPr>
        <w:pStyle w:val="ListNumber"/>
        <w:spacing w:before="0" w:after="40" w:line="276" w:lineRule="auto"/>
        <w:jc w:val="both"/>
      </w:pPr>
      <w:r>
        <w:rPr>
          <w:rFonts w:ascii="Times New Roman" w:hAnsi="Times New Roman"/>
          <w:b/>
          <w:i w:val="0"/>
          <w:color w:val="0B1F3A"/>
          <w:sz w:val="24"/>
        </w:rPr>
        <w:t>Secure Ingestion &amp; Structural Validation</w:t>
      </w:r>
      <w:r>
        <w:rPr>
          <w:rFonts w:ascii="Times New Roman" w:hAnsi="Times New Roman"/>
          <w:b w:val="0"/>
          <w:i w:val="0"/>
          <w:color w:val="1E1E1E"/>
          <w:sz w:val="24"/>
        </w:rPr>
        <w:t>: The client uploads an image file via the React web interface. The FastAPI backend validates file format (PNG, JPEG, TIFF), dimensions (</w:t>
      </w:r>
      <w:r>
        <w:rPr>
          <w:rFonts w:ascii="Times New Roman" w:hAnsi="Times New Roman"/>
          <w:b w:val="0"/>
          <w:i/>
          <w:color w:val="1E1E1E"/>
          <w:sz w:val="24"/>
        </w:rPr>
        <w:t xml:space="preserve">\ge 32 </w:t>
        <w:tab/>
        <w:t>imes 32</w:t>
      </w:r>
      <w:r>
        <w:rPr>
          <w:rFonts w:ascii="Times New Roman" w:hAnsi="Times New Roman"/>
          <w:b w:val="0"/>
          <w:i w:val="0"/>
          <w:color w:val="1E1E1E"/>
          <w:sz w:val="24"/>
        </w:rPr>
        <w:t>), channel structure, and payload integrity.</w:t>
      </w:r>
    </w:p>
    <w:p>
      <w:pPr>
        <w:pStyle w:val="ListNumber"/>
        <w:spacing w:before="0" w:after="40" w:line="276" w:lineRule="auto"/>
        <w:jc w:val="both"/>
      </w:pPr>
      <w:r>
        <w:rPr>
          <w:rFonts w:ascii="Times New Roman" w:hAnsi="Times New Roman"/>
          <w:b/>
          <w:i w:val="0"/>
          <w:color w:val="0B1F3A"/>
          <w:sz w:val="24"/>
        </w:rPr>
        <w:t>Two-Stage CXR Validation Gate</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val="0"/>
          <w:i/>
          <w:color w:val="1E1E1E"/>
          <w:sz w:val="24"/>
        </w:rPr>
        <w:t>Stage 1 (Biophysical Heuristics)</w:t>
      </w:r>
      <w:r>
        <w:rPr>
          <w:rFonts w:ascii="Times New Roman" w:hAnsi="Times New Roman"/>
          <w:b w:val="0"/>
          <w:i w:val="0"/>
          <w:color w:val="1E1E1E"/>
          <w:sz w:val="24"/>
        </w:rPr>
        <w:t>: Inspects chromatic saturation and dynamic range in HSV/LAB space to reject natural color photographs.</w:t>
      </w:r>
    </w:p>
    <w:p>
      <w:pPr>
        <w:pStyle w:val="ListBullet"/>
        <w:spacing w:before="0" w:after="40" w:line="276" w:lineRule="auto"/>
        <w:jc w:val="both"/>
      </w:pPr>
      <w:r>
        <w:rPr>
          <w:rFonts w:ascii="Times New Roman" w:hAnsi="Times New Roman"/>
          <w:b w:val="0"/>
          <w:i/>
          <w:color w:val="1E1E1E"/>
          <w:sz w:val="24"/>
        </w:rPr>
        <w:t>Stage 2 (Anatomical Classifier)</w:t>
      </w:r>
      <w:r>
        <w:rPr>
          <w:rFonts w:ascii="Times New Roman" w:hAnsi="Times New Roman"/>
          <w:b w:val="0"/>
          <w:i w:val="0"/>
          <w:color w:val="1E1E1E"/>
          <w:sz w:val="24"/>
        </w:rPr>
        <w:t xml:space="preserve">: Evaluates the image using an independent DenseNet-121 anatomical gate model. If the predicted chest radiograph probability is below the selected operating threshold </w:t>
      </w:r>
      <w:r>
        <w:rPr>
          <w:rFonts w:ascii="Times New Roman" w:hAnsi="Times New Roman"/>
          <w:b w:val="0"/>
          <w:i/>
          <w:color w:val="1E1E1E"/>
          <w:sz w:val="24"/>
        </w:rPr>
        <w:tab/>
        <w:t>au = 0.83</w:t>
      </w:r>
      <w:r>
        <w:rPr>
          <w:rFonts w:ascii="Times New Roman" w:hAnsi="Times New Roman"/>
          <w:b w:val="0"/>
          <w:i w:val="0"/>
          <w:color w:val="1E1E1E"/>
          <w:sz w:val="24"/>
        </w:rPr>
        <w:t>, the study is immediately rejected with HTTP 422 Unprocessable Entity, terminating the pipeline without executing disease inference or persisting data.</w:t>
      </w:r>
    </w:p>
    <w:p>
      <w:pPr>
        <w:pStyle w:val="ListNumber"/>
        <w:spacing w:before="0" w:after="40" w:line="276" w:lineRule="auto"/>
        <w:jc w:val="both"/>
      </w:pPr>
      <w:r>
        <w:rPr>
          <w:rFonts w:ascii="Times New Roman" w:hAnsi="Times New Roman"/>
          <w:b/>
          <w:i w:val="0"/>
          <w:color w:val="0B1F3A"/>
          <w:sz w:val="24"/>
        </w:rPr>
        <w:t>Deterministic Biophysical Preprocessing</w:t>
      </w:r>
      <w:r>
        <w:rPr>
          <w:rFonts w:ascii="Times New Roman" w:hAnsi="Times New Roman"/>
          <w:b w:val="0"/>
          <w:i w:val="0"/>
          <w:color w:val="1E1E1E"/>
          <w:sz w:val="24"/>
        </w:rPr>
        <w:t>: For validated radiographs, the system executes 3-channel normalization, BGR-to-RGB conversion, Gaussian smoothing (</w:t>
      </w:r>
      <w:r>
        <w:rPr>
          <w:rFonts w:ascii="Times New Roman" w:hAnsi="Times New Roman"/>
          <w:b w:val="0"/>
          <w:i/>
          <w:color w:val="1E1E1E"/>
          <w:sz w:val="24"/>
        </w:rPr>
        <w:t xml:space="preserve">3 </w:t>
        <w:tab/>
        <w:t>imes 3, \sigma = 0.8</w:t>
      </w:r>
      <w:r>
        <w:rPr>
          <w:rFonts w:ascii="Times New Roman" w:hAnsi="Times New Roman"/>
          <w:b w:val="0"/>
          <w:i w:val="0"/>
          <w:color w:val="1E1E1E"/>
          <w:sz w:val="24"/>
        </w:rPr>
        <w:t>), RGB-to-LAB conversion, Contrast-Limited Adaptive Histogram Equalization (CLAHE) on the L-channel, LAB-to-RGB reconversion, Gaussian frequency low-pass filtering (</w:t>
      </w:r>
      <w:r>
        <w:rPr>
          <w:rFonts w:ascii="Times New Roman" w:hAnsi="Times New Roman"/>
          <w:b w:val="0"/>
          <w:i/>
          <w:color w:val="1E1E1E"/>
          <w:sz w:val="24"/>
        </w:rPr>
        <w:t>\sigma = 1.0</w:t>
      </w:r>
      <w:r>
        <w:rPr>
          <w:rFonts w:ascii="Times New Roman" w:hAnsi="Times New Roman"/>
          <w:b w:val="0"/>
          <w:i w:val="0"/>
          <w:color w:val="1E1E1E"/>
          <w:sz w:val="24"/>
        </w:rPr>
        <w:t xml:space="preserve">), high-order Lanczos-4 spatial resampling to </w:t>
      </w:r>
      <w:r>
        <w:rPr>
          <w:rFonts w:ascii="Times New Roman" w:hAnsi="Times New Roman"/>
          <w:b w:val="0"/>
          <w:i/>
          <w:color w:val="1E1E1E"/>
          <w:sz w:val="24"/>
        </w:rPr>
        <w:t xml:space="preserve">224 </w:t>
        <w:tab/>
        <w:t>imes 224</w:t>
      </w:r>
      <w:r>
        <w:rPr>
          <w:rFonts w:ascii="Times New Roman" w:hAnsi="Times New Roman"/>
          <w:b w:val="0"/>
          <w:i w:val="0"/>
          <w:color w:val="1E1E1E"/>
          <w:sz w:val="24"/>
        </w:rPr>
        <w:t xml:space="preserve"> pixels, and ImageNet standardization.</w:t>
      </w:r>
    </w:p>
    <w:p>
      <w:pPr>
        <w:pStyle w:val="ListNumber"/>
        <w:spacing w:before="0" w:after="40" w:line="276" w:lineRule="auto"/>
        <w:jc w:val="both"/>
      </w:pPr>
      <w:r>
        <w:rPr>
          <w:rFonts w:ascii="Times New Roman" w:hAnsi="Times New Roman"/>
          <w:b/>
          <w:i w:val="0"/>
          <w:color w:val="0B1F3A"/>
          <w:sz w:val="24"/>
        </w:rPr>
        <w:t>Deep Multi-Class Inference (Frequency-Aware DenseNet-121)</w:t>
      </w:r>
      <w:r>
        <w:rPr>
          <w:rFonts w:ascii="Times New Roman" w:hAnsi="Times New Roman"/>
          <w:b w:val="0"/>
          <w:i w:val="0"/>
          <w:color w:val="1E1E1E"/>
          <w:sz w:val="24"/>
        </w:rPr>
        <w:t>: The preprocessed tensor is routed through the Frequency-Aware DenseNet-121 classifier (internally designated Model D) featuring an ImageNet-pretrained DenseNet-121 backbone and a 256-dimensional bottleneck classification head, outputting raw logits transformed via Softmax into predicted class probabilities across the six clinical classes.</w:t>
      </w:r>
    </w:p>
    <w:p>
      <w:pPr>
        <w:pStyle w:val="ListNumber"/>
        <w:spacing w:before="0" w:after="40" w:line="276" w:lineRule="auto"/>
        <w:jc w:val="both"/>
      </w:pPr>
      <w:r>
        <w:rPr>
          <w:rFonts w:ascii="Times New Roman" w:hAnsi="Times New Roman"/>
          <w:b/>
          <w:i w:val="0"/>
          <w:color w:val="0B1F3A"/>
          <w:sz w:val="24"/>
        </w:rPr>
        <w:t>Real-Time Visual Explainability (Grad-CAM)</w:t>
      </w:r>
      <w:r>
        <w:rPr>
          <w:rFonts w:ascii="Times New Roman" w:hAnsi="Times New Roman"/>
          <w:b w:val="0"/>
          <w:i w:val="0"/>
          <w:color w:val="1E1E1E"/>
          <w:sz w:val="24"/>
        </w:rPr>
        <w:t>: Gradients of the predicted class score with respect to the terminal dense block feature activations are extracted, rectified, and bilinearly interpolated to generate a 2D spatial attention heatmap, blended with the original radiograph.</w:t>
      </w:r>
    </w:p>
    <w:p>
      <w:pPr>
        <w:pStyle w:val="ListNumber"/>
        <w:spacing w:before="0" w:after="40" w:line="276" w:lineRule="auto"/>
        <w:jc w:val="both"/>
      </w:pPr>
      <w:r>
        <w:rPr>
          <w:rFonts w:ascii="Times New Roman" w:hAnsi="Times New Roman"/>
          <w:b/>
          <w:i w:val="0"/>
          <w:color w:val="0B1F3A"/>
          <w:sz w:val="24"/>
        </w:rPr>
        <w:t>Clinical Decision Support &amp; Triage Processing</w:t>
      </w:r>
      <w:r>
        <w:rPr>
          <w:rFonts w:ascii="Times New Roman" w:hAnsi="Times New Roman"/>
          <w:b w:val="0"/>
          <w:i w:val="0"/>
          <w:color w:val="1E1E1E"/>
          <w:sz w:val="24"/>
        </w:rPr>
        <w:t>: The system assigns an emergency triage level:</w:t>
      </w:r>
    </w:p>
    <w:p>
      <w:pPr>
        <w:pStyle w:val="ListBullet"/>
        <w:spacing w:before="0" w:after="40" w:line="276" w:lineRule="auto"/>
        <w:jc w:val="both"/>
      </w:pPr>
      <w:r>
        <w:rPr>
          <w:rFonts w:ascii="Times New Roman" w:hAnsi="Times New Roman"/>
          <w:b/>
          <w:i w:val="0"/>
          <w:color w:val="0B1F3A"/>
          <w:sz w:val="24"/>
        </w:rPr>
        <w:t>Emergency (Red)</w:t>
      </w:r>
      <w:r>
        <w:rPr>
          <w:rFonts w:ascii="Times New Roman" w:hAnsi="Times New Roman"/>
          <w:b w:val="0"/>
          <w:i w:val="0"/>
          <w:color w:val="1E1E1E"/>
          <w:sz w:val="24"/>
        </w:rPr>
        <w:t>: COVID-19 or Pleural Effusion (high acute decompensation risk);</w:t>
      </w:r>
    </w:p>
    <w:p>
      <w:pPr>
        <w:pStyle w:val="ListBullet"/>
        <w:spacing w:before="0" w:after="40" w:line="276" w:lineRule="auto"/>
        <w:jc w:val="both"/>
      </w:pPr>
      <w:r>
        <w:rPr>
          <w:rFonts w:ascii="Times New Roman" w:hAnsi="Times New Roman"/>
          <w:b/>
          <w:i w:val="0"/>
          <w:color w:val="0B1F3A"/>
          <w:sz w:val="24"/>
        </w:rPr>
        <w:t>Urgent (Amber)</w:t>
      </w:r>
      <w:r>
        <w:rPr>
          <w:rFonts w:ascii="Times New Roman" w:hAnsi="Times New Roman"/>
          <w:b w:val="0"/>
          <w:i w:val="0"/>
          <w:color w:val="1E1E1E"/>
          <w:sz w:val="24"/>
        </w:rPr>
        <w:t>: Pneumonia or Tuberculosis (urgent infectious management);</w:t>
      </w:r>
    </w:p>
    <w:p>
      <w:pPr>
        <w:pStyle w:val="ListBullet"/>
        <w:spacing w:before="0" w:after="40" w:line="276" w:lineRule="auto"/>
        <w:jc w:val="both"/>
      </w:pPr>
      <w:r>
        <w:rPr>
          <w:rFonts w:ascii="Times New Roman" w:hAnsi="Times New Roman"/>
          <w:b/>
          <w:i w:val="0"/>
          <w:color w:val="0B1F3A"/>
          <w:sz w:val="24"/>
        </w:rPr>
        <w:t>Non-Urgent / Review (Yellow)</w:t>
      </w:r>
      <w:r>
        <w:rPr>
          <w:rFonts w:ascii="Times New Roman" w:hAnsi="Times New Roman"/>
          <w:b w:val="0"/>
          <w:i w:val="0"/>
          <w:color w:val="1E1E1E"/>
          <w:sz w:val="24"/>
        </w:rPr>
        <w:t>: Pulmonary Nodule / Mass (outpatient follow-up);</w:t>
      </w:r>
    </w:p>
    <w:p>
      <w:pPr>
        <w:pStyle w:val="ListBullet"/>
        <w:spacing w:before="0" w:after="40" w:line="276" w:lineRule="auto"/>
        <w:jc w:val="both"/>
      </w:pPr>
      <w:r>
        <w:rPr>
          <w:rFonts w:ascii="Times New Roman" w:hAnsi="Times New Roman"/>
          <w:b/>
          <w:i w:val="0"/>
          <w:color w:val="0B1F3A"/>
          <w:sz w:val="24"/>
        </w:rPr>
        <w:t>Routine (Green)</w:t>
      </w:r>
      <w:r>
        <w:rPr>
          <w:rFonts w:ascii="Times New Roman" w:hAnsi="Times New Roman"/>
          <w:b w:val="0"/>
          <w:i w:val="0"/>
          <w:color w:val="1E1E1E"/>
          <w:sz w:val="24"/>
        </w:rPr>
        <w:t>: Normal (standard review).</w:t>
      </w:r>
    </w:p>
    <w:p>
      <w:pPr>
        <w:pStyle w:val="ListNumber"/>
        <w:spacing w:before="0" w:after="40" w:line="276" w:lineRule="auto"/>
        <w:jc w:val="both"/>
      </w:pPr>
      <w:r>
        <w:rPr>
          <w:rFonts w:ascii="Times New Roman" w:hAnsi="Times New Roman"/>
          <w:b/>
          <w:i w:val="0"/>
          <w:color w:val="0B1F3A"/>
          <w:sz w:val="24"/>
        </w:rPr>
        <w:t>Relational Persistence &amp; Audit Logging</w:t>
      </w:r>
      <w:r>
        <w:rPr>
          <w:rFonts w:ascii="Times New Roman" w:hAnsi="Times New Roman"/>
          <w:b w:val="0"/>
          <w:i w:val="0"/>
          <w:color w:val="1E1E1E"/>
          <w:sz w:val="24"/>
        </w:rPr>
        <w:t>: The prediction metadata, triage level, processing latencies, and file paths are persisted in an ACID-compliant SQLite database via SQLAlchemy ORM for longitudinal auditability.</w:t>
      </w:r>
    </w:p>
    <w:p>
      <w:pPr>
        <w:pStyle w:val="Heading2"/>
        <w:keepNext/>
        <w:spacing w:before="140" w:after="60"/>
        <w:jc w:val="left"/>
      </w:pPr>
      <w:r>
        <w:rPr>
          <w:rFonts w:ascii="Times New Roman" w:hAnsi="Times New Roman"/>
          <w:b/>
          <w:color w:val="185FA5"/>
          <w:sz w:val="28"/>
        </w:rPr>
        <w:t>4.3 High-Level System Architecture</w:t>
      </w:r>
    </w:p>
    <w:p>
      <w:pPr>
        <w:spacing w:before="0" w:after="70" w:line="276" w:lineRule="auto"/>
        <w:jc w:val="both"/>
      </w:pPr>
      <w:r>
        <w:rPr>
          <w:rFonts w:ascii="Times New Roman" w:hAnsi="Times New Roman"/>
          <w:b w:val="0"/>
          <w:i w:val="0"/>
          <w:color w:val="1E1E1E"/>
          <w:sz w:val="24"/>
        </w:rPr>
        <w:t>Figure 4.1 depicts the high-level system architecture of the LungAI diagnostic platform, illustrating the clear boundary separation between the presentation client, asynchronous API gateway, two-stage gate, machine learning inference singleton, and relational persistence tier.</w:t>
      </w:r>
    </w:p>
    <w:p>
      <w:pPr>
        <w:keepNext/>
        <w:spacing w:before="80" w:after="40"/>
        <w:jc w:val="center"/>
      </w:pPr>
      <w:r>
        <w:drawing>
          <wp:inline xmlns:a="http://schemas.openxmlformats.org/drawingml/2006/main" xmlns:pic="http://schemas.openxmlformats.org/drawingml/2006/picture">
            <wp:extent cx="4058379" cy="256032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4058379" cy="2560320"/>
                    </a:xfrm>
                    <a:prstGeom prst="rect"/>
                  </pic:spPr>
                </pic:pic>
              </a:graphicData>
            </a:graphic>
          </wp:inline>
        </w:drawing>
      </w:r>
    </w:p>
    <w:p>
      <w:pPr>
        <w:spacing w:before="40" w:after="120"/>
        <w:jc w:val="center"/>
      </w:pPr>
      <w:r>
        <w:rPr>
          <w:rFonts w:ascii="Times New Roman" w:hAnsi="Times New Roman"/>
          <w:b/>
          <w:color w:val="0B1F3A"/>
          <w:sz w:val="22"/>
        </w:rPr>
        <w:t>Figure 4.1:</w:t>
      </w:r>
      <w:r>
        <w:rPr>
          <w:rFonts w:ascii="Times New Roman" w:hAnsi="Times New Roman"/>
          <w:i/>
          <w:color w:val="1E1E1E"/>
          <w:sz w:val="22"/>
        </w:rPr>
        <w:t xml:space="preserve"> Proposed LungAI Multi-Tier System Architecture</w:t>
      </w:r>
    </w:p>
    <w:p>
      <w:pPr>
        <w:pStyle w:val="Heading2"/>
        <w:keepNext/>
        <w:spacing w:before="140" w:after="60"/>
        <w:jc w:val="left"/>
      </w:pPr>
      <w:r>
        <w:rPr>
          <w:rFonts w:ascii="Times New Roman" w:hAnsi="Times New Roman"/>
          <w:b/>
          <w:color w:val="185FA5"/>
          <w:sz w:val="28"/>
        </w:rPr>
        <w:t>4.4 Key Novelties and Design Distinctions</w:t>
      </w:r>
    </w:p>
    <w:p>
      <w:pPr>
        <w:spacing w:before="0" w:after="70" w:line="276" w:lineRule="auto"/>
        <w:jc w:val="both"/>
      </w:pPr>
      <w:r>
        <w:rPr>
          <w:rFonts w:ascii="Times New Roman" w:hAnsi="Times New Roman"/>
          <w:b w:val="0"/>
          <w:i w:val="0"/>
          <w:color w:val="1E1E1E"/>
          <w:sz w:val="24"/>
        </w:rPr>
        <w:t>The proposed LungAI architecture incorporates several critical innovations distinguishing it from prior literature:</w:t>
      </w:r>
    </w:p>
    <w:p>
      <w:pPr>
        <w:pStyle w:val="ListBullet"/>
        <w:spacing w:before="0" w:after="40" w:line="276" w:lineRule="auto"/>
        <w:jc w:val="both"/>
      </w:pPr>
      <w:r>
        <w:rPr>
          <w:rFonts w:ascii="Times New Roman" w:hAnsi="Times New Roman"/>
          <w:b/>
          <w:i w:val="0"/>
          <w:color w:val="0B1F3A"/>
          <w:sz w:val="24"/>
        </w:rPr>
        <w:t>Two-Stage Ingestion Gate</w:t>
      </w:r>
      <w:r>
        <w:rPr>
          <w:rFonts w:ascii="Times New Roman" w:hAnsi="Times New Roman"/>
          <w:b w:val="0"/>
          <w:i w:val="0"/>
          <w:color w:val="1E1E1E"/>
          <w:sz w:val="24"/>
        </w:rPr>
        <w:t xml:space="preserve">: Intercepts invalid files and non-radiographic uploads at selected operating threshold </w:t>
      </w:r>
      <w:r>
        <w:rPr>
          <w:rFonts w:ascii="Times New Roman" w:hAnsi="Times New Roman"/>
          <w:b w:val="0"/>
          <w:i/>
          <w:color w:val="1E1E1E"/>
          <w:sz w:val="24"/>
        </w:rPr>
        <w:tab/>
        <w:t>au = 0.83</w:t>
      </w:r>
      <w:r>
        <w:rPr>
          <w:rFonts w:ascii="Times New Roman" w:hAnsi="Times New Roman"/>
          <w:b w:val="0"/>
          <w:i w:val="0"/>
          <w:color w:val="1E1E1E"/>
          <w:sz w:val="24"/>
        </w:rPr>
        <w:t>, reducing the risk of silent failure from non-radiographic inputs within the evaluated test cohort.</w:t>
      </w:r>
    </w:p>
    <w:p>
      <w:pPr>
        <w:pStyle w:val="ListBullet"/>
        <w:spacing w:before="0" w:after="40" w:line="276" w:lineRule="auto"/>
        <w:jc w:val="both"/>
      </w:pPr>
      <w:r>
        <w:rPr>
          <w:rFonts w:ascii="Times New Roman" w:hAnsi="Times New Roman"/>
          <w:b/>
          <w:i w:val="0"/>
          <w:color w:val="0B1F3A"/>
          <w:sz w:val="24"/>
        </w:rPr>
        <w:t>Biophysical Frequency Preprocessing (Frequency-Aware DenseNet-121)</w:t>
      </w:r>
      <w:r>
        <w:rPr>
          <w:rFonts w:ascii="Times New Roman" w:hAnsi="Times New Roman"/>
          <w:b w:val="0"/>
          <w:i w:val="0"/>
          <w:color w:val="1E1E1E"/>
          <w:sz w:val="24"/>
        </w:rPr>
        <w:t>: Leverages spatial Gaussian filtering (</w:t>
      </w:r>
      <w:r>
        <w:rPr>
          <w:rFonts w:ascii="Times New Roman" w:hAnsi="Times New Roman"/>
          <w:b w:val="0"/>
          <w:i/>
          <w:color w:val="1E1E1E"/>
          <w:sz w:val="24"/>
        </w:rPr>
        <w:t>\sigma = 1.0</w:t>
      </w:r>
      <w:r>
        <w:rPr>
          <w:rFonts w:ascii="Times New Roman" w:hAnsi="Times New Roman"/>
          <w:b w:val="0"/>
          <w:i w:val="0"/>
          <w:color w:val="1E1E1E"/>
          <w:sz w:val="24"/>
        </w:rPr>
        <w:t>) to suppress high-frequency hardware noise, outperforming complex latent alignment techniques (CORAL, DANN) on the multi-source V5 benchmark.</w:t>
      </w:r>
    </w:p>
    <w:p>
      <w:pPr>
        <w:pStyle w:val="ListBullet"/>
        <w:spacing w:before="0" w:after="40" w:line="276" w:lineRule="auto"/>
        <w:jc w:val="both"/>
      </w:pPr>
      <w:r>
        <w:rPr>
          <w:rFonts w:ascii="Times New Roman" w:hAnsi="Times New Roman"/>
          <w:b/>
          <w:i w:val="0"/>
          <w:color w:val="0B1F3A"/>
          <w:sz w:val="24"/>
        </w:rPr>
        <w:t>Dense Bottleneck Feature Reuse</w:t>
      </w:r>
      <w:r>
        <w:rPr>
          <w:rFonts w:ascii="Times New Roman" w:hAnsi="Times New Roman"/>
          <w:b w:val="0"/>
          <w:i w:val="0"/>
          <w:color w:val="1E1E1E"/>
          <w:sz w:val="24"/>
        </w:rPr>
        <w:t>: Combines a pre-trained DenseNet-121 backbone with Global Average Pooling, Batch Normalization, a 256-D dense projection layer with ReLU, and a 30% dropout rate, maximizing parameter efficiency and multi-scale feature reuse.</w:t>
      </w:r>
    </w:p>
    <w:p>
      <w:pPr>
        <w:pStyle w:val="ListBullet"/>
        <w:spacing w:before="0" w:after="40" w:line="276" w:lineRule="auto"/>
        <w:jc w:val="both"/>
      </w:pPr>
      <w:r>
        <w:rPr>
          <w:rFonts w:ascii="Times New Roman" w:hAnsi="Times New Roman"/>
          <w:b/>
          <w:i w:val="0"/>
          <w:color w:val="0B1F3A"/>
          <w:sz w:val="24"/>
        </w:rPr>
        <w:t>Zero-Footprint Local Workstation Architecture</w:t>
      </w:r>
      <w:r>
        <w:rPr>
          <w:rFonts w:ascii="Times New Roman" w:hAnsi="Times New Roman"/>
          <w:b w:val="0"/>
          <w:i w:val="0"/>
          <w:color w:val="1E1E1E"/>
          <w:sz w:val="24"/>
        </w:rPr>
        <w:t>: Optimized for lightweight CPU and edge GPU execution, designed for lightweight local CPU/GPU execution without requiring expensive enterprise cloud infrastructure.</w:t>
      </w:r>
    </w:p>
    <w:p>
      <w:r>
        <w:br w:type="page"/>
      </w:r>
    </w:p>
    <w:p>
      <w:pPr>
        <w:pStyle w:val="Heading1"/>
        <w:keepNext/>
        <w:spacing w:before="160" w:after="120"/>
        <w:jc w:val="left"/>
      </w:pPr>
      <w:r>
        <w:rPr>
          <w:rFonts w:ascii="Times New Roman" w:hAnsi="Times New Roman"/>
          <w:b/>
          <w:color w:val="0B1F3A"/>
          <w:sz w:val="32"/>
        </w:rPr>
        <w:t>CHAPTER 5 – SYSTEM REQUIREMENTS</w:t>
      </w:r>
    </w:p>
    <w:p>
      <w:pPr>
        <w:pStyle w:val="Heading2"/>
        <w:keepNext/>
        <w:spacing w:before="140" w:after="60"/>
        <w:jc w:val="left"/>
      </w:pPr>
      <w:r>
        <w:rPr>
          <w:rFonts w:ascii="Times New Roman" w:hAnsi="Times New Roman"/>
          <w:b/>
          <w:color w:val="185FA5"/>
          <w:sz w:val="28"/>
        </w:rPr>
        <w:t>5.1 Hardware Requirements</w:t>
      </w:r>
    </w:p>
    <w:p>
      <w:pPr>
        <w:spacing w:before="0" w:after="70" w:line="276" w:lineRule="auto"/>
        <w:jc w:val="both"/>
      </w:pPr>
      <w:r>
        <w:rPr>
          <w:rFonts w:ascii="Times New Roman" w:hAnsi="Times New Roman"/>
          <w:b w:val="0"/>
          <w:i w:val="0"/>
          <w:color w:val="1E1E1E"/>
          <w:sz w:val="24"/>
        </w:rPr>
        <w:t>The LungAI diagnostic platform is engineered with a resource-efficient architecture capable of operating in dual execution modes: high-throughput GPU-accelerated clinical server environments and resource-constrained CPU edge workstations (such as mobile triage laptops in rural clinics).</w:t>
      </w:r>
    </w:p>
    <w:p>
      <w:pPr>
        <w:spacing w:before="0" w:after="70" w:line="276" w:lineRule="auto"/>
        <w:jc w:val="both"/>
      </w:pPr>
      <w:r>
        <w:rPr>
          <w:rFonts w:ascii="Times New Roman" w:hAnsi="Times New Roman"/>
          <w:b w:val="0"/>
          <w:i w:val="0"/>
          <w:color w:val="1E1E1E"/>
          <w:sz w:val="24"/>
        </w:rPr>
        <w:t>In GPU-accelerated environments, tensor forward passes and Grad-CAM backpropagation leverage CUDA parallel cores to support responsive diagnostic turnaround. The platform is designed to support practical inference on GPU-accelerated and multi-core CPU environments. Measured latency depends on hardware, preprocessing, Grad-CAM generation, and runtime configuration. On standard CPU workstations, the runtime utilizes multi-threaded vector operations (AVX-512 / AVX2 instruction sets via PyTorch and OpenBLAS) to ensure that specialist-grade decision support remains fully operational without dedicated graphics hardware. Table 5.1 delineates the minimum and recommended hardware specifications.</w:t>
      </w:r>
    </w:p>
    <w:p>
      <w:pPr>
        <w:keepNext/>
        <w:spacing w:before="120" w:after="40"/>
        <w:jc w:val="center"/>
      </w:pPr>
      <w:r>
        <w:rPr>
          <w:rFonts w:ascii="Times New Roman" w:hAnsi="Times New Roman"/>
          <w:b/>
          <w:color w:val="0B1F3A"/>
          <w:sz w:val="22"/>
        </w:rPr>
        <w:t>Table 5.1:</w:t>
      </w:r>
      <w:r>
        <w:rPr>
          <w:rFonts w:ascii="Times New Roman" w:hAnsi="Times New Roman"/>
          <w:b w:val="0"/>
          <w:color w:val="1E1E1E"/>
          <w:sz w:val="22"/>
        </w:rPr>
        <w:t xml:space="preserve"> Minimum and Recommended Hardware Specifications</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28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Component</w:t>
            </w:r>
          </w:p>
        </w:tc>
        <w:tc>
          <w:tcPr>
            <w:tcW w:type="dxa" w:w="316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Minimum Specification (Edge CPU)</w:t>
            </w:r>
          </w:p>
        </w:tc>
        <w:tc>
          <w:tcPr>
            <w:tcW w:type="dxa" w:w="331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Recommended Specification (Clinical Host / GPU)</w:t>
            </w:r>
          </w:p>
        </w:tc>
      </w:tr>
      <w:tr>
        <w:trPr>
          <w:cantSplit/>
        </w:trPr>
        <w:tc>
          <w:tcPr>
            <w:tcW w:type="dxa" w:w="288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Processor (CPU)</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4-Core x86-64 (Intel Core i5 8th Gen / AMD Ryzen 5, 2.5 GHz)</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8-Core x86-64 (Intel Core i7/i9 12th Gen / AMD Ryzen 7, 3.8 GHz)</w:t>
            </w:r>
          </w:p>
        </w:tc>
      </w:tr>
      <w:tr>
        <w:trPr>
          <w:cantSplit/>
        </w:trPr>
        <w:tc>
          <w:tcPr>
            <w:tcW w:type="dxa" w:w="288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System Memory (RAM)</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8 GB DDR4 (2666 MHz)</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16 GB – 32 GB DDR4/DDR5 (3200+ MHz)</w:t>
            </w:r>
          </w:p>
        </w:tc>
      </w:tr>
      <w:tr>
        <w:trPr>
          <w:cantSplit/>
        </w:trPr>
        <w:tc>
          <w:tcPr>
            <w:tcW w:type="dxa" w:w="288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Graphics Processing Unit</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Integrated Graphics (Intel UHD / AMD Radeon Graphics)</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NVIDIA GeForce RTX 3060 / RTX 4070 / Quadro RTX 4000 (8+ GB VRAM)</w:t>
            </w:r>
          </w:p>
        </w:tc>
      </w:tr>
      <w:tr>
        <w:trPr>
          <w:cantSplit/>
        </w:trPr>
        <w:tc>
          <w:tcPr>
            <w:tcW w:type="dxa" w:w="28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Storage</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10 GB available SSD space (OS and model weights)</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50 GB NVMe PCIe M.2 SSD (for caching and database persistence)</w:t>
            </w:r>
          </w:p>
        </w:tc>
      </w:tr>
      <w:tr>
        <w:trPr>
          <w:cantSplit/>
        </w:trPr>
        <w:tc>
          <w:tcPr>
            <w:tcW w:type="dxa" w:w="288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Display Resolution</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1366 × 768 pixels (Standard Hospital Monitor)</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1920 × 1080 (Full HD) or 2560 × 1440 (Diagnostic Medical Grade Display)</w:t>
            </w:r>
          </w:p>
        </w:tc>
      </w:tr>
      <w:tr>
        <w:trPr>
          <w:cantSplit/>
        </w:trPr>
        <w:tc>
          <w:tcPr>
            <w:tcW w:type="dxa" w:w="288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Network Interface</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100 Mbps Ethernet / 802.11ac Wi-Fi</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1000 Mbps (Gigabit) Ethernet (for high-throughput image transfers)</w:t>
            </w:r>
          </w:p>
        </w:tc>
      </w:tr>
    </w:tbl>
    <w:p>
      <w:pPr>
        <w:spacing w:before="0" w:after="80"/>
      </w:pPr>
    </w:p>
    <w:p>
      <w:pPr>
        <w:pStyle w:val="Heading2"/>
        <w:keepNext/>
        <w:spacing w:before="140" w:after="60"/>
        <w:jc w:val="left"/>
      </w:pPr>
      <w:r>
        <w:rPr>
          <w:rFonts w:ascii="Times New Roman" w:hAnsi="Times New Roman"/>
          <w:b/>
          <w:color w:val="185FA5"/>
          <w:sz w:val="28"/>
        </w:rPr>
        <w:t>5.2 Software Requirements &amp; Runtime Environment</w:t>
      </w:r>
    </w:p>
    <w:p>
      <w:pPr>
        <w:spacing w:before="0" w:after="70" w:line="276" w:lineRule="auto"/>
        <w:jc w:val="both"/>
      </w:pPr>
      <w:r>
        <w:rPr>
          <w:rFonts w:ascii="Times New Roman" w:hAnsi="Times New Roman"/>
          <w:b w:val="0"/>
          <w:i w:val="0"/>
          <w:color w:val="1E1E1E"/>
          <w:sz w:val="24"/>
        </w:rPr>
        <w:t>LungAI leverages an open-source, reproducible software stack anchored by the Python 3.12 machine learning ecosystem and modern asynchronous web standards. Table 5.2 outlines the software environment and core library dependencies.</w:t>
      </w:r>
    </w:p>
    <w:p>
      <w:pPr>
        <w:spacing w:before="0" w:after="70" w:line="276" w:lineRule="auto"/>
        <w:jc w:val="both"/>
      </w:pPr>
      <w:r>
        <w:rPr>
          <w:rFonts w:ascii="Times New Roman" w:hAnsi="Times New Roman"/>
          <w:b w:val="0"/>
          <w:i w:val="0"/>
          <w:color w:val="1E1E1E"/>
          <w:sz w:val="24"/>
        </w:rPr>
        <w:t>The backend service is structured on FastAPI, an asynchronous ASGI web framework that achieves C-like execution speeds via Starlette and Pydantic. Deep learning models are orchestrated through PyTorch 2.2, utilizing pre-trained torchvision weights for DenseNet-121. The persistence layer utilizes SQLAlchemy 2.0 ORM interfacing with an ACID-compliant SQLite relational database. The client application is developed in React 18, utilizing the Vite build toolchain and modern glassmorphic component styling.</w:t>
      </w:r>
    </w:p>
    <w:p>
      <w:pPr>
        <w:keepNext/>
        <w:spacing w:before="120" w:after="40"/>
        <w:jc w:val="center"/>
      </w:pPr>
      <w:r>
        <w:rPr>
          <w:rFonts w:ascii="Times New Roman" w:hAnsi="Times New Roman"/>
          <w:b/>
          <w:color w:val="0B1F3A"/>
          <w:sz w:val="22"/>
        </w:rPr>
        <w:t>Table 5.2:</w:t>
      </w:r>
      <w:r>
        <w:rPr>
          <w:rFonts w:ascii="Times New Roman" w:hAnsi="Times New Roman"/>
          <w:b w:val="0"/>
          <w:color w:val="1E1E1E"/>
          <w:sz w:val="22"/>
        </w:rPr>
        <w:t xml:space="preserve"> Software Environment, Library Dependencies, and Runtime Frameworks</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2340"/>
        <w:gridCol w:w="2340"/>
        <w:gridCol w:w="2340"/>
        <w:gridCol w:w="2340"/>
      </w:tblGrid>
      <w:tr>
        <w:trPr>
          <w:cantSplit/>
          <w:tblHeader/>
        </w:trPr>
        <w:tc>
          <w:tcPr>
            <w:tcW w:type="dxa" w:w="2304"/>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Software Layer</w:t>
            </w:r>
          </w:p>
        </w:tc>
        <w:tc>
          <w:tcPr>
            <w:tcW w:type="dxa" w:w="2304"/>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Framework / Library</w:t>
            </w:r>
          </w:p>
        </w:tc>
        <w:tc>
          <w:tcPr>
            <w:tcW w:type="dxa" w:w="2304"/>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Version</w:t>
            </w:r>
          </w:p>
        </w:tc>
        <w:tc>
          <w:tcPr>
            <w:tcW w:type="dxa" w:w="244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Role &amp; Functionality</w:t>
            </w:r>
          </w:p>
        </w:tc>
      </w:tr>
      <w:tr>
        <w:trPr>
          <w:cantSplit/>
        </w:trPr>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Operating System</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Microsoft Windows / Linux</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Windows 10/11 / Ubuntu 22.04 LTS</w:t>
            </w:r>
          </w:p>
        </w:tc>
        <w:tc>
          <w:tcPr>
            <w:tcW w:type="dxa" w:w="244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Host operating system environment</w:t>
            </w:r>
          </w:p>
        </w:tc>
      </w:tr>
      <w:tr>
        <w:trPr>
          <w:cantSplit/>
        </w:trPr>
        <w:tc>
          <w:tcPr>
            <w:tcW w:type="dxa" w:w="2304"/>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Core Runtime</w:t>
            </w:r>
          </w:p>
        </w:tc>
        <w:tc>
          <w:tcPr>
            <w:tcW w:type="dxa" w:w="2304"/>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Python</w:t>
            </w:r>
          </w:p>
        </w:tc>
        <w:tc>
          <w:tcPr>
            <w:tcW w:type="dxa" w:w="2304"/>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3.12.x</w:t>
            </w:r>
          </w:p>
        </w:tc>
        <w:tc>
          <w:tcPr>
            <w:tcW w:type="dxa" w:w="244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Underlying programming language runtime</w:t>
            </w:r>
          </w:p>
        </w:tc>
      </w:tr>
      <w:tr>
        <w:trPr>
          <w:cantSplit/>
        </w:trPr>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Deep Learning Framework</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PyTorch / Torchvision</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2.2.0+cu121 / 0.17.0</w:t>
            </w:r>
          </w:p>
        </w:tc>
        <w:tc>
          <w:tcPr>
            <w:tcW w:type="dxa" w:w="244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Tensor computations, model loading, GPU acceleration, autograd</w:t>
            </w:r>
          </w:p>
        </w:tc>
      </w:tr>
      <w:tr>
        <w:trPr>
          <w:cantSplit/>
        </w:trPr>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Computer Vision &amp; Filters</w:t>
            </w:r>
          </w:p>
        </w:tc>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OpenCV (opencv-python-headless)</w:t>
            </w:r>
          </w:p>
        </w:tc>
        <w:tc>
          <w:tcPr>
            <w:tcW w:type="dxa" w:w="2304"/>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4.9.0+</w:t>
            </w:r>
          </w:p>
        </w:tc>
        <w:tc>
          <w:tcPr>
            <w:tcW w:type="dxa" w:w="244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Biophysical preprocessing, CLAHE, Gaussian spatial filtering, Lanczos</w:t>
            </w:r>
          </w:p>
        </w:tc>
      </w:tr>
      <w:tr>
        <w:trPr>
          <w:cantSplit/>
        </w:trPr>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Scientific Computing</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NumPy / SciPy / scikit-learn</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1.26.x / 1.12.x / 1.4.x</w:t>
            </w:r>
          </w:p>
        </w:tc>
        <w:tc>
          <w:tcPr>
            <w:tcW w:type="dxa" w:w="244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Matrix transformations, statistical evaluations, metric calculation</w:t>
            </w:r>
          </w:p>
        </w:tc>
      </w:tr>
      <w:tr>
        <w:trPr>
          <w:cantSplit/>
        </w:trPr>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Backend API Gateway</w:t>
            </w:r>
          </w:p>
        </w:tc>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FastAPI / Uvicorn</w:t>
            </w:r>
          </w:p>
        </w:tc>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0.110.0+ / 0.28.0+</w:t>
            </w:r>
          </w:p>
        </w:tc>
        <w:tc>
          <w:tcPr>
            <w:tcW w:type="dxa" w:w="244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Asynchronous REST API, request routing, OpenAPI documentation</w:t>
            </w:r>
          </w:p>
        </w:tc>
      </w:tr>
      <w:tr>
        <w:trPr>
          <w:cantSplit/>
        </w:trPr>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Data Validation</w:t>
            </w:r>
          </w:p>
        </w:tc>
        <w:tc>
          <w:tcPr>
            <w:tcW w:type="dxa" w:w="2304"/>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Pydantic</w:t>
            </w:r>
          </w:p>
        </w:tc>
        <w:tc>
          <w:tcPr>
            <w:tcW w:type="dxa" w:w="2304"/>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2.6.0+</w:t>
            </w:r>
          </w:p>
        </w:tc>
        <w:tc>
          <w:tcPr>
            <w:tcW w:type="dxa" w:w="244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Strict schema validation and type coercion for API payloads</w:t>
            </w:r>
          </w:p>
        </w:tc>
      </w:tr>
      <w:tr>
        <w:trPr>
          <w:cantSplit/>
        </w:trPr>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Relational Database / ORM</w:t>
            </w:r>
          </w:p>
        </w:tc>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SQLAlchemy / SQLite</w:t>
            </w:r>
          </w:p>
        </w:tc>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2.0.28+ / 3.42+</w:t>
            </w:r>
          </w:p>
        </w:tc>
        <w:tc>
          <w:tcPr>
            <w:tcW w:type="dxa" w:w="244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Persistent case history, patient tracking, relational audit trail</w:t>
            </w:r>
          </w:p>
        </w:tc>
      </w:tr>
      <w:tr>
        <w:trPr>
          <w:cantSplit/>
        </w:trPr>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Presentation Layer</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React / Node.js / Vite</w:t>
            </w:r>
          </w:p>
        </w:tc>
        <w:tc>
          <w:tcPr>
            <w:tcW w:type="dxa" w:w="2304"/>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18.2.0 / 20.x / 5.1+</w:t>
            </w:r>
          </w:p>
        </w:tc>
        <w:tc>
          <w:tcPr>
            <w:tcW w:type="dxa" w:w="244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Responsive clinical user interface, state management, triage rendering</w:t>
            </w:r>
          </w:p>
        </w:tc>
      </w:tr>
      <w:tr>
        <w:trPr>
          <w:cantSplit/>
        </w:trPr>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Visualization / Charting</w:t>
            </w:r>
          </w:p>
        </w:tc>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Recharts / Lucide-React</w:t>
            </w:r>
          </w:p>
        </w:tc>
        <w:tc>
          <w:tcPr>
            <w:tcW w:type="dxa" w:w="2304"/>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2.12.0+ / 0.350+</w:t>
            </w:r>
          </w:p>
        </w:tc>
        <w:tc>
          <w:tcPr>
            <w:tcW w:type="dxa" w:w="244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Dynamic probability charts, metrics dashboards, UI iconography</w:t>
            </w:r>
          </w:p>
        </w:tc>
      </w:tr>
    </w:tbl>
    <w:p>
      <w:pPr>
        <w:spacing w:before="0" w:after="80"/>
      </w:pPr>
    </w:p>
    <w:p>
      <w:pPr>
        <w:pStyle w:val="Heading2"/>
        <w:keepNext/>
        <w:spacing w:before="140" w:after="60"/>
        <w:jc w:val="left"/>
      </w:pPr>
      <w:r>
        <w:rPr>
          <w:rFonts w:ascii="Times New Roman" w:hAnsi="Times New Roman"/>
          <w:b/>
          <w:color w:val="185FA5"/>
          <w:sz w:val="28"/>
        </w:rPr>
        <w:t>5.3 Functional Requirements</w:t>
      </w:r>
    </w:p>
    <w:p>
      <w:pPr>
        <w:spacing w:before="0" w:after="70" w:line="276" w:lineRule="auto"/>
        <w:jc w:val="both"/>
      </w:pPr>
      <w:r>
        <w:rPr>
          <w:rFonts w:ascii="Times New Roman" w:hAnsi="Times New Roman"/>
          <w:b w:val="0"/>
          <w:i w:val="0"/>
          <w:color w:val="1E1E1E"/>
          <w:sz w:val="24"/>
        </w:rPr>
        <w:t>The functional requirements (FR) define the fundamental operational capabilities executed by the LungAI system, summarized in Table 5.3.</w:t>
      </w:r>
    </w:p>
    <w:p>
      <w:pPr>
        <w:keepNext/>
        <w:spacing w:before="120" w:after="40"/>
        <w:jc w:val="center"/>
      </w:pPr>
      <w:r>
        <w:rPr>
          <w:rFonts w:ascii="Times New Roman" w:hAnsi="Times New Roman"/>
          <w:b/>
          <w:color w:val="0B1F3A"/>
          <w:sz w:val="22"/>
        </w:rPr>
        <w:t>Table 5.3:</w:t>
      </w:r>
      <w:r>
        <w:rPr>
          <w:rFonts w:ascii="Times New Roman" w:hAnsi="Times New Roman"/>
          <w:b w:val="0"/>
          <w:color w:val="1E1E1E"/>
          <w:sz w:val="22"/>
        </w:rPr>
        <w:t xml:space="preserve"> Core Functional Requirements of the LungAI Diagnostic Decision Support Platform</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28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Identifier</w:t>
            </w:r>
          </w:p>
        </w:tc>
        <w:tc>
          <w:tcPr>
            <w:tcW w:type="dxa" w:w="316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Requirement Name</w:t>
            </w:r>
          </w:p>
        </w:tc>
        <w:tc>
          <w:tcPr>
            <w:tcW w:type="dxa" w:w="331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Operational Description &amp; Acceptance Criteria</w:t>
            </w:r>
          </w:p>
        </w:tc>
      </w:tr>
      <w:tr>
        <w:trPr>
          <w:cantSplit/>
        </w:trPr>
        <w:tc>
          <w:tcPr>
            <w:tcW w:type="dxa" w:w="28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FR-1</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Secure Radiograph Ingestion</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System shall accept PNG, JPEG, and TIFF radiographic image uploads up to 30 MB in payload size (with native DICOM ingestion identified as future work).</w:t>
            </w:r>
          </w:p>
        </w:tc>
      </w:tr>
      <w:tr>
        <w:trPr>
          <w:cantSplit/>
        </w:trPr>
        <w:tc>
          <w:tcPr>
            <w:tcW w:type="dxa" w:w="28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FR-2</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Structural Image Validation</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System shall enforce minimum dimensions (32×32 pixels), verify channel integrity, and reject corrupted file bytes.</w:t>
            </w:r>
          </w:p>
        </w:tc>
      </w:tr>
      <w:tr>
        <w:trPr>
          <w:cantSplit/>
        </w:trPr>
        <w:tc>
          <w:tcPr>
            <w:tcW w:type="dxa" w:w="28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FR-3</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Two-Stage CXR Screening Gate</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System shall evaluate uploaded images against biophysical heuristics and an anatomical classifier (tau = 0.83), rejecting non-CXR inputs.</w:t>
            </w:r>
          </w:p>
        </w:tc>
      </w:tr>
      <w:tr>
        <w:trPr>
          <w:cantSplit/>
        </w:trPr>
        <w:tc>
          <w:tcPr>
            <w:tcW w:type="dxa" w:w="28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FR-4</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Deterministic Preprocessing</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System shall apply CLAHE contrast enhancement, Gaussian low-pass filtering (sigma = 1.0), and Lanczos-4 resampling.</w:t>
            </w:r>
          </w:p>
        </w:tc>
      </w:tr>
      <w:tr>
        <w:trPr>
          <w:cantSplit/>
        </w:trPr>
        <w:tc>
          <w:tcPr>
            <w:tcW w:type="dxa" w:w="28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FR-5</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Multi-Class Disease Classification</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System shall predict class probabilities across six classes: COVID-19, Normal, Effusion, Pneumonia, Nodule, TB.</w:t>
            </w:r>
          </w:p>
        </w:tc>
      </w:tr>
      <w:tr>
        <w:trPr>
          <w:cantSplit/>
        </w:trPr>
        <w:tc>
          <w:tcPr>
            <w:tcW w:type="dxa" w:w="28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FR-6</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Visual Explainability (Grad-CAM)</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System shall generate a 2D spatial class activation heatmap targeting the final dense block and blend it with the original radiograph.</w:t>
            </w:r>
          </w:p>
        </w:tc>
      </w:tr>
      <w:tr>
        <w:trPr>
          <w:cantSplit/>
        </w:trPr>
        <w:tc>
          <w:tcPr>
            <w:tcW w:type="dxa" w:w="28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FR-7</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Clinical Triage Prioritization</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System shall categorize each study into Emergency (Red), Urgent (Amber), Review (Yellow), or Routine (Green) triage tiers.</w:t>
            </w:r>
          </w:p>
        </w:tc>
      </w:tr>
      <w:tr>
        <w:trPr>
          <w:cantSplit/>
        </w:trPr>
        <w:tc>
          <w:tcPr>
            <w:tcW w:type="dxa" w:w="28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FR-8</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Audit Logging &amp; Case Persistence</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System shall persist study metadata, patient identifier, predicted probabilities, triage tier, and latencies in SQLite.</w:t>
            </w:r>
          </w:p>
        </w:tc>
      </w:tr>
      <w:tr>
        <w:trPr>
          <w:cantSplit/>
        </w:trPr>
        <w:tc>
          <w:tcPr>
            <w:tcW w:type="dxa" w:w="28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1"/>
              </w:rPr>
              <w:t>FR-9</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Longitudinal Case History Retrieval</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System shall provide filterable, paginated query access to historical patient studies and diagnostic reports.</w:t>
            </w:r>
          </w:p>
        </w:tc>
      </w:tr>
      <w:tr>
        <w:trPr>
          <w:cantSplit/>
        </w:trPr>
        <w:tc>
          <w:tcPr>
            <w:tcW w:type="dxa" w:w="28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1"/>
              </w:rPr>
              <w:t>FR-10</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System Metrics &amp; Model Monitoring</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System shall display real-time comparative benchmark metrics, ROC-AUC, and per-class diagnostic statistics.</w:t>
            </w:r>
          </w:p>
        </w:tc>
      </w:tr>
    </w:tbl>
    <w:p>
      <w:pPr>
        <w:spacing w:before="0" w:after="80"/>
      </w:pPr>
    </w:p>
    <w:p>
      <w:pPr>
        <w:pStyle w:val="Heading2"/>
        <w:keepNext/>
        <w:spacing w:before="140" w:after="60"/>
        <w:jc w:val="left"/>
      </w:pPr>
      <w:r>
        <w:rPr>
          <w:rFonts w:ascii="Times New Roman" w:hAnsi="Times New Roman"/>
          <w:b/>
          <w:color w:val="185FA5"/>
          <w:sz w:val="28"/>
        </w:rPr>
        <w:t>5.4 Non-Functional Requirements</w:t>
      </w:r>
    </w:p>
    <w:p>
      <w:pPr>
        <w:pStyle w:val="ListNumber"/>
        <w:spacing w:before="0" w:after="40" w:line="276" w:lineRule="auto"/>
        <w:jc w:val="both"/>
      </w:pPr>
      <w:r>
        <w:rPr>
          <w:rFonts w:ascii="Times New Roman" w:hAnsi="Times New Roman"/>
          <w:b/>
          <w:i w:val="0"/>
          <w:color w:val="0B1F3A"/>
          <w:sz w:val="24"/>
        </w:rPr>
        <w:t>Performance &amp; Latency (Engineering Target)</w:t>
      </w:r>
      <w:r>
        <w:rPr>
          <w:rFonts w:ascii="Times New Roman" w:hAnsi="Times New Roman"/>
          <w:b w:val="0"/>
          <w:i w:val="0"/>
          <w:color w:val="1E1E1E"/>
          <w:sz w:val="24"/>
        </w:rPr>
        <w:t>: The system targets end-to-end inference latency below 1.5 seconds on GPU-accelerated hosts and below 3.5 seconds on suitable multi-core CPU hardware. These values are engineering targets and are not presented as experimentally established clinical performance guarantees.</w:t>
      </w:r>
    </w:p>
    <w:p>
      <w:pPr>
        <w:pStyle w:val="ListNumber"/>
        <w:spacing w:before="0" w:after="40" w:line="276" w:lineRule="auto"/>
        <w:jc w:val="both"/>
      </w:pPr>
      <w:r>
        <w:rPr>
          <w:rFonts w:ascii="Times New Roman" w:hAnsi="Times New Roman"/>
          <w:b/>
          <w:i w:val="0"/>
          <w:color w:val="0B1F3A"/>
          <w:sz w:val="24"/>
        </w:rPr>
        <w:t>Deterministic Reliability</w:t>
      </w:r>
      <w:r>
        <w:rPr>
          <w:rFonts w:ascii="Times New Roman" w:hAnsi="Times New Roman"/>
          <w:b w:val="0"/>
          <w:i w:val="0"/>
          <w:color w:val="1E1E1E"/>
          <w:sz w:val="24"/>
        </w:rPr>
        <w:t>: The model inference engine shall be mathematically deterministic: identical input matrices must yield bitwise identical floating-point class probabilities across successive execution cycles.</w:t>
      </w:r>
    </w:p>
    <w:p>
      <w:pPr>
        <w:pStyle w:val="ListNumber"/>
        <w:spacing w:before="0" w:after="40" w:line="276" w:lineRule="auto"/>
        <w:jc w:val="both"/>
      </w:pPr>
      <w:r>
        <w:rPr>
          <w:rFonts w:ascii="Times New Roman" w:hAnsi="Times New Roman"/>
          <w:b/>
          <w:i w:val="0"/>
          <w:color w:val="0B1F3A"/>
          <w:sz w:val="24"/>
        </w:rPr>
        <w:t>Availability &amp; Fault Isolation</w:t>
      </w:r>
      <w:r>
        <w:rPr>
          <w:rFonts w:ascii="Times New Roman" w:hAnsi="Times New Roman"/>
          <w:b w:val="0"/>
          <w:i w:val="0"/>
          <w:color w:val="1E1E1E"/>
          <w:sz w:val="24"/>
        </w:rPr>
        <w:t>: The system shall isolate failures at the gate stage; invalid inputs must terminate with structured HTTP 422 errors without crashing the ASGI worker or leaking unhandled exceptions.</w:t>
      </w:r>
    </w:p>
    <w:p>
      <w:pPr>
        <w:pStyle w:val="ListNumber"/>
        <w:spacing w:before="0" w:after="40" w:line="276" w:lineRule="auto"/>
        <w:jc w:val="both"/>
      </w:pPr>
      <w:r>
        <w:rPr>
          <w:rFonts w:ascii="Times New Roman" w:hAnsi="Times New Roman"/>
          <w:b/>
          <w:i w:val="0"/>
          <w:color w:val="0B1F3A"/>
          <w:sz w:val="24"/>
        </w:rPr>
        <w:t>Security &amp; Boundary Protection</w:t>
      </w:r>
      <w:r>
        <w:rPr>
          <w:rFonts w:ascii="Times New Roman" w:hAnsi="Times New Roman"/>
          <w:b w:val="0"/>
          <w:i w:val="0"/>
          <w:color w:val="1E1E1E"/>
          <w:sz w:val="24"/>
        </w:rPr>
        <w:t>: The system shall sanitize all file metadata, restrict write access to authorized upload directories, and prevent directory traversal exploits.</w:t>
      </w:r>
    </w:p>
    <w:p>
      <w:r>
        <w:br w:type="page"/>
      </w:r>
    </w:p>
    <w:p>
      <w:pPr>
        <w:pStyle w:val="Heading1"/>
        <w:keepNext/>
        <w:spacing w:before="160" w:after="120"/>
        <w:jc w:val="left"/>
      </w:pPr>
      <w:r>
        <w:rPr>
          <w:rFonts w:ascii="Times New Roman" w:hAnsi="Times New Roman"/>
          <w:b/>
          <w:color w:val="0B1F3A"/>
          <w:sz w:val="32"/>
        </w:rPr>
        <w:t>CHAPTER 6 – SYSTEM DESIGN</w:t>
      </w:r>
    </w:p>
    <w:p>
      <w:pPr>
        <w:pStyle w:val="Heading2"/>
        <w:keepNext/>
        <w:spacing w:before="140" w:after="60"/>
        <w:jc w:val="left"/>
      </w:pPr>
      <w:r>
        <w:rPr>
          <w:rFonts w:ascii="Times New Roman" w:hAnsi="Times New Roman"/>
          <w:b/>
          <w:color w:val="185FA5"/>
          <w:sz w:val="28"/>
        </w:rPr>
        <w:t>6.1 Architectural Design Principles</w:t>
      </w:r>
    </w:p>
    <w:p>
      <w:pPr>
        <w:spacing w:before="0" w:after="70" w:line="276" w:lineRule="auto"/>
        <w:jc w:val="both"/>
      </w:pPr>
      <w:r>
        <w:rPr>
          <w:rFonts w:ascii="Times New Roman" w:hAnsi="Times New Roman"/>
          <w:b w:val="0"/>
          <w:i w:val="0"/>
          <w:color w:val="1E1E1E"/>
          <w:sz w:val="24"/>
        </w:rPr>
        <w:t>The LungAI platform is structured around three core architectural tenets:</w:t>
      </w:r>
    </w:p>
    <w:p>
      <w:pPr>
        <w:pStyle w:val="ListNumber"/>
        <w:spacing w:before="0" w:after="40" w:line="276" w:lineRule="auto"/>
        <w:jc w:val="both"/>
      </w:pPr>
      <w:r>
        <w:rPr>
          <w:rFonts w:ascii="Times New Roman" w:hAnsi="Times New Roman"/>
          <w:b/>
          <w:i w:val="0"/>
          <w:color w:val="0B1F3A"/>
          <w:sz w:val="24"/>
        </w:rPr>
        <w:t>Separation of Concerns</w:t>
      </w:r>
      <w:r>
        <w:rPr>
          <w:rFonts w:ascii="Times New Roman" w:hAnsi="Times New Roman"/>
          <w:b w:val="0"/>
          <w:i w:val="0"/>
          <w:color w:val="1E1E1E"/>
          <w:sz w:val="24"/>
        </w:rPr>
        <w:t>: Complete structural decoupling between the presentation layer (React SPA), API orchestration gateway (FastAPI), machine learning inference engine (PyTorch singleton), and relational persistence store (SQLite).</w:t>
      </w:r>
    </w:p>
    <w:p>
      <w:pPr>
        <w:pStyle w:val="ListNumber"/>
        <w:spacing w:before="0" w:after="40" w:line="276" w:lineRule="auto"/>
        <w:jc w:val="both"/>
      </w:pPr>
      <w:r>
        <w:rPr>
          <w:rFonts w:ascii="Times New Roman" w:hAnsi="Times New Roman"/>
          <w:b/>
          <w:i w:val="0"/>
          <w:color w:val="0B1F3A"/>
          <w:sz w:val="24"/>
        </w:rPr>
        <w:t>Defensive Pipeline Execution</w:t>
      </w:r>
      <w:r>
        <w:rPr>
          <w:rFonts w:ascii="Times New Roman" w:hAnsi="Times New Roman"/>
          <w:b w:val="0"/>
          <w:i w:val="0"/>
          <w:color w:val="1E1E1E"/>
          <w:sz w:val="24"/>
        </w:rPr>
        <w:t>: All operations follow a strict fail-fast validation paradigm. Unchecked inputs cannot traverse into the deep learning pipeline.</w:t>
      </w:r>
    </w:p>
    <w:p>
      <w:pPr>
        <w:pStyle w:val="ListNumber"/>
        <w:spacing w:before="0" w:after="40" w:line="276" w:lineRule="auto"/>
        <w:jc w:val="both"/>
      </w:pPr>
      <w:r>
        <w:rPr>
          <w:rFonts w:ascii="Times New Roman" w:hAnsi="Times New Roman"/>
          <w:b/>
          <w:i w:val="0"/>
          <w:color w:val="0B1F3A"/>
          <w:sz w:val="24"/>
        </w:rPr>
        <w:t>Stateless Computation &amp; Concurrency</w:t>
      </w:r>
      <w:r>
        <w:rPr>
          <w:rFonts w:ascii="Times New Roman" w:hAnsi="Times New Roman"/>
          <w:b w:val="0"/>
          <w:i w:val="0"/>
          <w:color w:val="1E1E1E"/>
          <w:sz w:val="24"/>
        </w:rPr>
        <w:t xml:space="preserve">: The ML inference engine operates as a thread-safe singleton managing deterministic forward passes under PyTorch </w:t>
      </w:r>
      <w:r>
        <w:rPr>
          <w:rFonts w:ascii="Times New Roman" w:hAnsi="Times New Roman"/>
          <w:b w:val="0"/>
          <w:i w:val="0"/>
          <w:color w:val="1E1E1E"/>
          <w:sz w:val="23"/>
        </w:rPr>
        <w:t>torch.no_grad()</w:t>
      </w:r>
      <w:r>
        <w:rPr>
          <w:rFonts w:ascii="Times New Roman" w:hAnsi="Times New Roman"/>
          <w:b w:val="0"/>
          <w:i w:val="0"/>
          <w:color w:val="1E1E1E"/>
          <w:sz w:val="24"/>
        </w:rPr>
        <w:t xml:space="preserve"> contexts, supporting concurrent client requests without memory leaks.</w:t>
      </w:r>
    </w:p>
    <w:p>
      <w:pPr>
        <w:pStyle w:val="Heading2"/>
        <w:keepNext/>
        <w:spacing w:before="140" w:after="60"/>
        <w:jc w:val="left"/>
      </w:pPr>
      <w:r>
        <w:rPr>
          <w:rFonts w:ascii="Times New Roman" w:hAnsi="Times New Roman"/>
          <w:b/>
          <w:color w:val="185FA5"/>
          <w:sz w:val="28"/>
        </w:rPr>
        <w:t>6.2 Data Flow Modeling</w:t>
      </w:r>
    </w:p>
    <w:p>
      <w:pPr>
        <w:pStyle w:val="Heading3"/>
        <w:keepNext/>
        <w:spacing w:before="100" w:after="40"/>
        <w:jc w:val="left"/>
      </w:pPr>
      <w:r>
        <w:rPr>
          <w:rFonts w:ascii="Times New Roman" w:hAnsi="Times New Roman"/>
          <w:b/>
          <w:color w:val="1E1E1E"/>
          <w:sz w:val="28"/>
        </w:rPr>
        <w:t>Level-0 Data Flow Diagram (Context Level)</w:t>
      </w:r>
    </w:p>
    <w:p>
      <w:pPr>
        <w:spacing w:before="0" w:after="70" w:line="276" w:lineRule="auto"/>
        <w:jc w:val="both"/>
      </w:pPr>
      <w:r>
        <w:rPr>
          <w:rFonts w:ascii="Times New Roman" w:hAnsi="Times New Roman"/>
          <w:b w:val="0"/>
          <w:i w:val="0"/>
          <w:color w:val="1E1E1E"/>
          <w:sz w:val="24"/>
        </w:rPr>
        <w:t>Figure 6.1 illustrates the Level-0 Data Flow Diagram, defining the system boundary and external entity interactions between the Clinical User and the LungAI platform. The user supplies raw radiographic image files, patient identifiers, and query filters. In return, the system generates diagnostic disease predictions, predicted class probability vectors, 2D Grad-CAM anatomical saliency maps, prioritized triage banners, and longitudinal clinical audit records.</w:t>
      </w:r>
    </w:p>
    <w:p>
      <w:pPr>
        <w:keepNext/>
        <w:spacing w:before="80" w:after="40"/>
        <w:jc w:val="center"/>
      </w:pPr>
      <w:r>
        <w:drawing>
          <wp:inline xmlns:a="http://schemas.openxmlformats.org/drawingml/2006/main" xmlns:pic="http://schemas.openxmlformats.org/drawingml/2006/picture">
            <wp:extent cx="4760595" cy="2560320"/>
            <wp:docPr id="2" name="Picture 2"/>
            <wp:cNvGraphicFramePr>
              <a:graphicFrameLocks noChangeAspect="1"/>
            </wp:cNvGraphicFramePr>
            <a:graphic>
              <a:graphicData uri="http://schemas.openxmlformats.org/drawingml/2006/picture">
                <pic:pic>
                  <pic:nvPicPr>
                    <pic:cNvPr id="0" name="dfd_level_0.png"/>
                    <pic:cNvPicPr/>
                  </pic:nvPicPr>
                  <pic:blipFill>
                    <a:blip r:embed="rId12"/>
                    <a:stretch>
                      <a:fillRect/>
                    </a:stretch>
                  </pic:blipFill>
                  <pic:spPr>
                    <a:xfrm>
                      <a:off x="0" y="0"/>
                      <a:ext cx="4760595" cy="2560320"/>
                    </a:xfrm>
                    <a:prstGeom prst="rect"/>
                  </pic:spPr>
                </pic:pic>
              </a:graphicData>
            </a:graphic>
          </wp:inline>
        </w:drawing>
      </w:r>
    </w:p>
    <w:p>
      <w:pPr>
        <w:spacing w:before="40" w:after="120"/>
        <w:jc w:val="center"/>
      </w:pPr>
      <w:r>
        <w:rPr>
          <w:rFonts w:ascii="Times New Roman" w:hAnsi="Times New Roman"/>
          <w:b/>
          <w:color w:val="0B1F3A"/>
          <w:sz w:val="22"/>
        </w:rPr>
        <w:t>Figure 6.1:</w:t>
      </w:r>
      <w:r>
        <w:rPr>
          <w:rFonts w:ascii="Times New Roman" w:hAnsi="Times New Roman"/>
          <w:i/>
          <w:color w:val="1E1E1E"/>
          <w:sz w:val="22"/>
        </w:rPr>
        <w:t xml:space="preserve"> Level-0 Data Flow Diagram (Context Level)</w:t>
      </w:r>
    </w:p>
    <w:p>
      <w:pPr>
        <w:pStyle w:val="Heading3"/>
        <w:keepNext/>
        <w:spacing w:before="100" w:after="40"/>
        <w:jc w:val="left"/>
      </w:pPr>
      <w:r>
        <w:rPr>
          <w:rFonts w:ascii="Times New Roman" w:hAnsi="Times New Roman"/>
          <w:b/>
          <w:color w:val="1E1E1E"/>
          <w:sz w:val="28"/>
        </w:rPr>
        <w:t>Level-1 Data Flow Diagram (Module Decomposition)</w:t>
      </w:r>
    </w:p>
    <w:p>
      <w:pPr>
        <w:spacing w:before="0" w:after="70" w:line="276" w:lineRule="auto"/>
        <w:jc w:val="both"/>
      </w:pPr>
      <w:r>
        <w:rPr>
          <w:rFonts w:ascii="Times New Roman" w:hAnsi="Times New Roman"/>
          <w:b w:val="0"/>
          <w:i w:val="0"/>
          <w:color w:val="1E1E1E"/>
          <w:sz w:val="24"/>
        </w:rPr>
        <w:t>Figure 6.2 decomposes the system into its primary operational processes:</w:t>
      </w:r>
    </w:p>
    <w:p>
      <w:pPr>
        <w:pStyle w:val="ListBullet"/>
        <w:spacing w:before="0" w:after="40" w:line="276" w:lineRule="auto"/>
        <w:jc w:val="both"/>
      </w:pPr>
      <w:r>
        <w:rPr>
          <w:rFonts w:ascii="Times New Roman" w:hAnsi="Times New Roman"/>
          <w:b/>
          <w:i w:val="0"/>
          <w:color w:val="0B1F3A"/>
          <w:sz w:val="24"/>
        </w:rPr>
        <w:t>Process 1.0 (Image Ingestion &amp; Structural Check)</w:t>
      </w:r>
      <w:r>
        <w:rPr>
          <w:rFonts w:ascii="Times New Roman" w:hAnsi="Times New Roman"/>
          <w:b w:val="0"/>
          <w:i w:val="0"/>
          <w:color w:val="1E1E1E"/>
          <w:sz w:val="24"/>
        </w:rPr>
        <w:t>: Decodes incoming multipart image bytes, validates file headers, and verifies dimensions (</w:t>
      </w:r>
      <w:r>
        <w:rPr>
          <w:rFonts w:ascii="Times New Roman" w:hAnsi="Times New Roman"/>
          <w:b w:val="0"/>
          <w:i/>
          <w:color w:val="1E1E1E"/>
          <w:sz w:val="24"/>
        </w:rPr>
        <w:t xml:space="preserve">\ge 32 </w:t>
        <w:tab/>
        <w:t>imes 32</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Process 2.0 (Two-Stage CXR Validation Gate)</w:t>
      </w:r>
      <w:r>
        <w:rPr>
          <w:rFonts w:ascii="Times New Roman" w:hAnsi="Times New Roman"/>
          <w:b w:val="0"/>
          <w:i w:val="0"/>
          <w:color w:val="1E1E1E"/>
          <w:sz w:val="24"/>
        </w:rPr>
        <w:t xml:space="preserve">: Assesses biophysical saturation and evaluates anatomical validity via a dedicated deep binary classifier operating at selected production threshold </w:t>
      </w:r>
      <w:r>
        <w:rPr>
          <w:rFonts w:ascii="Times New Roman" w:hAnsi="Times New Roman"/>
          <w:b w:val="0"/>
          <w:i/>
          <w:color w:val="1E1E1E"/>
          <w:sz w:val="24"/>
        </w:rPr>
        <w:tab/>
        <w:t>au = 0.83</w:t>
      </w:r>
      <w:r>
        <w:rPr>
          <w:rFonts w:ascii="Times New Roman" w:hAnsi="Times New Roman"/>
          <w:b w:val="0"/>
          <w:i w:val="0"/>
          <w:color w:val="1E1E1E"/>
          <w:sz w:val="24"/>
        </w:rPr>
        <w:t>. Non-radiographic uploads terminate here with HTTP 422.</w:t>
      </w:r>
    </w:p>
    <w:p>
      <w:pPr>
        <w:pStyle w:val="ListBullet"/>
        <w:spacing w:before="0" w:after="40" w:line="276" w:lineRule="auto"/>
        <w:jc w:val="both"/>
      </w:pPr>
      <w:r>
        <w:rPr>
          <w:rFonts w:ascii="Times New Roman" w:hAnsi="Times New Roman"/>
          <w:b/>
          <w:i w:val="0"/>
          <w:color w:val="0B1F3A"/>
          <w:sz w:val="24"/>
        </w:rPr>
        <w:t>Process 3.0 (Deterministic Radiographic Preprocessing)</w:t>
      </w:r>
      <w:r>
        <w:rPr>
          <w:rFonts w:ascii="Times New Roman" w:hAnsi="Times New Roman"/>
          <w:b w:val="0"/>
          <w:i w:val="0"/>
          <w:color w:val="1E1E1E"/>
          <w:sz w:val="24"/>
        </w:rPr>
        <w:t>: Performs CIE LAB conversion, luminance CLAHE enhancement, Gaussian low-pass spatial filtering (</w:t>
      </w:r>
      <w:r>
        <w:rPr>
          <w:rFonts w:ascii="Times New Roman" w:hAnsi="Times New Roman"/>
          <w:b w:val="0"/>
          <w:i/>
          <w:color w:val="1E1E1E"/>
          <w:sz w:val="24"/>
        </w:rPr>
        <w:t>\sigma = 1.0</w:t>
      </w:r>
      <w:r>
        <w:rPr>
          <w:rFonts w:ascii="Times New Roman" w:hAnsi="Times New Roman"/>
          <w:b w:val="0"/>
          <w:i w:val="0"/>
          <w:color w:val="1E1E1E"/>
          <w:sz w:val="24"/>
        </w:rPr>
        <w:t>), Lanczos-4 resampling, and ImageNet standardization.</w:t>
      </w:r>
    </w:p>
    <w:p>
      <w:pPr>
        <w:pStyle w:val="ListBullet"/>
        <w:spacing w:before="0" w:after="40" w:line="276" w:lineRule="auto"/>
        <w:jc w:val="both"/>
      </w:pPr>
      <w:r>
        <w:rPr>
          <w:rFonts w:ascii="Times New Roman" w:hAnsi="Times New Roman"/>
          <w:b/>
          <w:i w:val="0"/>
          <w:color w:val="0B1F3A"/>
          <w:sz w:val="24"/>
        </w:rPr>
        <w:t>Process 4.0 (Frequency-Aware DenseNet-121 Multi-Class Inference)</w:t>
      </w:r>
      <w:r>
        <w:rPr>
          <w:rFonts w:ascii="Times New Roman" w:hAnsi="Times New Roman"/>
          <w:b w:val="0"/>
          <w:i w:val="0"/>
          <w:color w:val="1E1E1E"/>
          <w:sz w:val="24"/>
        </w:rPr>
        <w:t>: Executes the forward pass through the Frequency-Aware DenseNet-121 classifier (Model D), generating predicted class probabilities across the six pathological classes.</w:t>
      </w:r>
    </w:p>
    <w:p>
      <w:pPr>
        <w:pStyle w:val="ListBullet"/>
        <w:spacing w:before="0" w:after="40" w:line="276" w:lineRule="auto"/>
        <w:jc w:val="both"/>
      </w:pPr>
      <w:r>
        <w:rPr>
          <w:rFonts w:ascii="Times New Roman" w:hAnsi="Times New Roman"/>
          <w:b/>
          <w:i w:val="0"/>
          <w:color w:val="0B1F3A"/>
          <w:sz w:val="24"/>
        </w:rPr>
        <w:t>Process 5.0 (Grad-CAM Saliency Generation)</w:t>
      </w:r>
      <w:r>
        <w:rPr>
          <w:rFonts w:ascii="Times New Roman" w:hAnsi="Times New Roman"/>
          <w:b w:val="0"/>
          <w:i w:val="0"/>
          <w:color w:val="1E1E1E"/>
          <w:sz w:val="24"/>
        </w:rPr>
        <w:t>: Computes class-specific gradients at the final dense block, producing a 2D spatial attention heatmap overlaid onto the original radiograph.</w:t>
      </w:r>
    </w:p>
    <w:p>
      <w:pPr>
        <w:pStyle w:val="ListBullet"/>
        <w:spacing w:before="0" w:after="40" w:line="276" w:lineRule="auto"/>
        <w:jc w:val="both"/>
      </w:pPr>
      <w:r>
        <w:rPr>
          <w:rFonts w:ascii="Times New Roman" w:hAnsi="Times New Roman"/>
          <w:b/>
          <w:i w:val="0"/>
          <w:color w:val="0B1F3A"/>
          <w:sz w:val="24"/>
        </w:rPr>
        <w:t>Process 6.0 (Clinical Triage Processing)</w:t>
      </w:r>
      <w:r>
        <w:rPr>
          <w:rFonts w:ascii="Times New Roman" w:hAnsi="Times New Roman"/>
          <w:b w:val="0"/>
          <w:i w:val="0"/>
          <w:color w:val="1E1E1E"/>
          <w:sz w:val="24"/>
        </w:rPr>
        <w:t>: Maps predicted probabilities to clinical risk tiers (Emergency, Urgent, Review, Routine).</w:t>
      </w:r>
    </w:p>
    <w:p>
      <w:pPr>
        <w:pStyle w:val="ListBullet"/>
        <w:spacing w:before="0" w:after="40" w:line="276" w:lineRule="auto"/>
        <w:jc w:val="both"/>
      </w:pPr>
      <w:r>
        <w:rPr>
          <w:rFonts w:ascii="Times New Roman" w:hAnsi="Times New Roman"/>
          <w:b/>
          <w:i w:val="0"/>
          <w:color w:val="0B1F3A"/>
          <w:sz w:val="24"/>
        </w:rPr>
        <w:t>Process 7.0 (Relational Persistence)</w:t>
      </w:r>
      <w:r>
        <w:rPr>
          <w:rFonts w:ascii="Times New Roman" w:hAnsi="Times New Roman"/>
          <w:b w:val="0"/>
          <w:i w:val="0"/>
          <w:color w:val="1E1E1E"/>
          <w:sz w:val="24"/>
        </w:rPr>
        <w:t>: Persists study metadata, patient records, and inference telemetry in SQLite via SQLAlchemy.</w:t>
      </w:r>
    </w:p>
    <w:p>
      <w:pPr>
        <w:pStyle w:val="ListBullet"/>
        <w:spacing w:before="0" w:after="40" w:line="276" w:lineRule="auto"/>
        <w:jc w:val="both"/>
      </w:pPr>
      <w:r>
        <w:rPr>
          <w:rFonts w:ascii="Times New Roman" w:hAnsi="Times New Roman"/>
          <w:b/>
          <w:i w:val="0"/>
          <w:color w:val="0B1F3A"/>
          <w:sz w:val="24"/>
        </w:rPr>
        <w:t>Process 8.0 (Case History &amp; Reporting)</w:t>
      </w:r>
      <w:r>
        <w:rPr>
          <w:rFonts w:ascii="Times New Roman" w:hAnsi="Times New Roman"/>
          <w:b w:val="0"/>
          <w:i w:val="0"/>
          <w:color w:val="1E1E1E"/>
          <w:sz w:val="24"/>
        </w:rPr>
        <w:t>: Serves paginated query requests and audit summaries to the client.</w:t>
      </w:r>
    </w:p>
    <w:p>
      <w:pPr>
        <w:keepNext/>
        <w:spacing w:before="80" w:after="40"/>
        <w:jc w:val="center"/>
      </w:pPr>
      <w:r>
        <w:drawing>
          <wp:inline xmlns:a="http://schemas.openxmlformats.org/drawingml/2006/main" xmlns:pic="http://schemas.openxmlformats.org/drawingml/2006/picture">
            <wp:extent cx="4058379" cy="2560320"/>
            <wp:docPr id="3" name="Picture 3"/>
            <wp:cNvGraphicFramePr>
              <a:graphicFrameLocks noChangeAspect="1"/>
            </wp:cNvGraphicFramePr>
            <a:graphic>
              <a:graphicData uri="http://schemas.openxmlformats.org/drawingml/2006/picture">
                <pic:pic>
                  <pic:nvPicPr>
                    <pic:cNvPr id="0" name="dfd_level_1.png"/>
                    <pic:cNvPicPr/>
                  </pic:nvPicPr>
                  <pic:blipFill>
                    <a:blip r:embed="rId13"/>
                    <a:stretch>
                      <a:fillRect/>
                    </a:stretch>
                  </pic:blipFill>
                  <pic:spPr>
                    <a:xfrm>
                      <a:off x="0" y="0"/>
                      <a:ext cx="4058379" cy="2560320"/>
                    </a:xfrm>
                    <a:prstGeom prst="rect"/>
                  </pic:spPr>
                </pic:pic>
              </a:graphicData>
            </a:graphic>
          </wp:inline>
        </w:drawing>
      </w:r>
    </w:p>
    <w:p>
      <w:pPr>
        <w:spacing w:before="40" w:after="120"/>
        <w:jc w:val="center"/>
      </w:pPr>
      <w:r>
        <w:rPr>
          <w:rFonts w:ascii="Times New Roman" w:hAnsi="Times New Roman"/>
          <w:b/>
          <w:color w:val="0B1F3A"/>
          <w:sz w:val="22"/>
        </w:rPr>
        <w:t>Figure 6.2:</w:t>
      </w:r>
      <w:r>
        <w:rPr>
          <w:rFonts w:ascii="Times New Roman" w:hAnsi="Times New Roman"/>
          <w:i/>
          <w:color w:val="1E1E1E"/>
          <w:sz w:val="22"/>
        </w:rPr>
        <w:t xml:space="preserve"> Level-1 Data Flow Diagram (Module Decomposition)</w:t>
      </w:r>
    </w:p>
    <w:p>
      <w:pPr>
        <w:pStyle w:val="Heading3"/>
        <w:keepNext/>
        <w:spacing w:before="100" w:after="40"/>
        <w:jc w:val="left"/>
      </w:pPr>
      <w:r>
        <w:rPr>
          <w:rFonts w:ascii="Times New Roman" w:hAnsi="Times New Roman"/>
          <w:b/>
          <w:color w:val="1E1E1E"/>
          <w:sz w:val="28"/>
        </w:rPr>
        <w:t>Level-2 Data Flow Diagram (Machine Learning Inference Pipeline)</w:t>
      </w:r>
    </w:p>
    <w:p>
      <w:pPr>
        <w:spacing w:before="0" w:after="70" w:line="276" w:lineRule="auto"/>
        <w:jc w:val="both"/>
      </w:pPr>
      <w:r>
        <w:rPr>
          <w:rFonts w:ascii="Times New Roman" w:hAnsi="Times New Roman"/>
          <w:b w:val="0"/>
          <w:i w:val="0"/>
          <w:color w:val="1E1E1E"/>
          <w:sz w:val="24"/>
        </w:rPr>
        <w:t>Figure 6.3 provides an in-depth decomposition of Process 3.0 and Process 4.0, detailing the exact flow of data through chromatic conversion, CLAHE enhancement, Gaussian low-pass spatial filtering, Lanczos-4 resampling, DenseNet-121 forward pass, and Softmax probability generation.</w:t>
      </w:r>
    </w:p>
    <w:p>
      <w:pPr>
        <w:keepNext/>
        <w:spacing w:before="80" w:after="40"/>
        <w:jc w:val="center"/>
      </w:pPr>
      <w:r>
        <w:drawing>
          <wp:inline xmlns:a="http://schemas.openxmlformats.org/drawingml/2006/main" xmlns:pic="http://schemas.openxmlformats.org/drawingml/2006/picture">
            <wp:extent cx="4541520" cy="2560320"/>
            <wp:docPr id="4" name="Picture 4"/>
            <wp:cNvGraphicFramePr>
              <a:graphicFrameLocks noChangeAspect="1"/>
            </wp:cNvGraphicFramePr>
            <a:graphic>
              <a:graphicData uri="http://schemas.openxmlformats.org/drawingml/2006/picture">
                <pic:pic>
                  <pic:nvPicPr>
                    <pic:cNvPr id="0" name="dfd_level_2.png"/>
                    <pic:cNvPicPr/>
                  </pic:nvPicPr>
                  <pic:blipFill>
                    <a:blip r:embed="rId14"/>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6.3:</w:t>
      </w:r>
      <w:r>
        <w:rPr>
          <w:rFonts w:ascii="Times New Roman" w:hAnsi="Times New Roman"/>
          <w:i/>
          <w:color w:val="1E1E1E"/>
          <w:sz w:val="22"/>
        </w:rPr>
        <w:t xml:space="preserve"> Level-2 Data Flow Diagram (Machine Learning Inference)</w:t>
      </w:r>
    </w:p>
    <w:p>
      <w:pPr>
        <w:pStyle w:val="Heading2"/>
        <w:keepNext/>
        <w:spacing w:before="140" w:after="60"/>
        <w:jc w:val="left"/>
      </w:pPr>
      <w:r>
        <w:rPr>
          <w:rFonts w:ascii="Times New Roman" w:hAnsi="Times New Roman"/>
          <w:b/>
          <w:color w:val="185FA5"/>
          <w:sz w:val="28"/>
        </w:rPr>
        <w:t>6.3 UML Structural Modeling</w:t>
      </w:r>
    </w:p>
    <w:p>
      <w:pPr>
        <w:pStyle w:val="Heading3"/>
        <w:keepNext/>
        <w:spacing w:before="100" w:after="40"/>
        <w:jc w:val="left"/>
      </w:pPr>
      <w:r>
        <w:rPr>
          <w:rFonts w:ascii="Times New Roman" w:hAnsi="Times New Roman"/>
          <w:b/>
          <w:color w:val="1E1E1E"/>
          <w:sz w:val="28"/>
        </w:rPr>
        <w:t>UML Use Case Diagram</w:t>
      </w:r>
    </w:p>
    <w:p>
      <w:pPr>
        <w:spacing w:before="0" w:after="70" w:line="276" w:lineRule="auto"/>
        <w:jc w:val="both"/>
      </w:pPr>
      <w:r>
        <w:rPr>
          <w:rFonts w:ascii="Times New Roman" w:hAnsi="Times New Roman"/>
          <w:b w:val="0"/>
          <w:i w:val="0"/>
          <w:color w:val="1E1E1E"/>
          <w:sz w:val="24"/>
        </w:rPr>
        <w:t>Figure 6.4 depicts the UML Use Case Diagram representing the interactions between the Clinical User / Radiologist and the verified functional capabilities of the system. Actors can upload radiographs, view multi-class predictions, examine Grad-CAM heatmaps, inspect triage tiers, query historical patient cases, and review comparative model performance metrics.</w:t>
      </w:r>
    </w:p>
    <w:p>
      <w:pPr>
        <w:keepNext/>
        <w:spacing w:before="80" w:after="40"/>
        <w:jc w:val="center"/>
      </w:pPr>
      <w:r>
        <w:drawing>
          <wp:inline xmlns:a="http://schemas.openxmlformats.org/drawingml/2006/main" xmlns:pic="http://schemas.openxmlformats.org/drawingml/2006/picture">
            <wp:extent cx="4180775" cy="2560320"/>
            <wp:docPr id="5" name="Picture 5"/>
            <wp:cNvGraphicFramePr>
              <a:graphicFrameLocks noChangeAspect="1"/>
            </wp:cNvGraphicFramePr>
            <a:graphic>
              <a:graphicData uri="http://schemas.openxmlformats.org/drawingml/2006/picture">
                <pic:pic>
                  <pic:nvPicPr>
                    <pic:cNvPr id="0" name="uml_use_case.png"/>
                    <pic:cNvPicPr/>
                  </pic:nvPicPr>
                  <pic:blipFill>
                    <a:blip r:embed="rId15"/>
                    <a:stretch>
                      <a:fillRect/>
                    </a:stretch>
                  </pic:blipFill>
                  <pic:spPr>
                    <a:xfrm>
                      <a:off x="0" y="0"/>
                      <a:ext cx="4180775" cy="2560320"/>
                    </a:xfrm>
                    <a:prstGeom prst="rect"/>
                  </pic:spPr>
                </pic:pic>
              </a:graphicData>
            </a:graphic>
          </wp:inline>
        </w:drawing>
      </w:r>
    </w:p>
    <w:p>
      <w:pPr>
        <w:spacing w:before="40" w:after="120"/>
        <w:jc w:val="center"/>
      </w:pPr>
      <w:r>
        <w:rPr>
          <w:rFonts w:ascii="Times New Roman" w:hAnsi="Times New Roman"/>
          <w:b/>
          <w:color w:val="0B1F3A"/>
          <w:sz w:val="22"/>
        </w:rPr>
        <w:t>Figure 6.4:</w:t>
      </w:r>
      <w:r>
        <w:rPr>
          <w:rFonts w:ascii="Times New Roman" w:hAnsi="Times New Roman"/>
          <w:i/>
          <w:color w:val="1E1E1E"/>
          <w:sz w:val="22"/>
        </w:rPr>
        <w:t xml:space="preserve"> UML Use Case Diagram for Clinical Decision Support</w:t>
      </w:r>
    </w:p>
    <w:p>
      <w:pPr>
        <w:pStyle w:val="Heading3"/>
        <w:keepNext/>
        <w:spacing w:before="100" w:after="40"/>
        <w:jc w:val="left"/>
      </w:pPr>
      <w:r>
        <w:rPr>
          <w:rFonts w:ascii="Times New Roman" w:hAnsi="Times New Roman"/>
          <w:b/>
          <w:color w:val="1E1E1E"/>
          <w:sz w:val="28"/>
        </w:rPr>
        <w:t>UML Class Diagram</w:t>
      </w:r>
    </w:p>
    <w:p>
      <w:pPr>
        <w:spacing w:before="0" w:after="70" w:line="276" w:lineRule="auto"/>
        <w:jc w:val="both"/>
      </w:pPr>
      <w:r>
        <w:rPr>
          <w:rFonts w:ascii="Times New Roman" w:hAnsi="Times New Roman"/>
          <w:b w:val="0"/>
          <w:i w:val="0"/>
          <w:color w:val="1E1E1E"/>
          <w:sz w:val="24"/>
        </w:rPr>
        <w:t xml:space="preserve">Figure 6.5 details the object-oriented structure of the backend, showcasing the relationships between FastAPI route controllers, the </w:t>
      </w:r>
      <w:r>
        <w:rPr>
          <w:rFonts w:ascii="Times New Roman" w:hAnsi="Times New Roman"/>
          <w:b w:val="0"/>
          <w:i w:val="0"/>
          <w:color w:val="1E1E1E"/>
          <w:sz w:val="23"/>
        </w:rPr>
        <w:t>InferenceEngine</w:t>
      </w:r>
      <w:r>
        <w:rPr>
          <w:rFonts w:ascii="Times New Roman" w:hAnsi="Times New Roman"/>
          <w:b w:val="0"/>
          <w:i w:val="0"/>
          <w:color w:val="1E1E1E"/>
          <w:sz w:val="24"/>
        </w:rPr>
        <w:t xml:space="preserve"> singleton, </w:t>
      </w:r>
      <w:r>
        <w:rPr>
          <w:rFonts w:ascii="Times New Roman" w:hAnsi="Times New Roman"/>
          <w:b w:val="0"/>
          <w:i w:val="0"/>
          <w:color w:val="1E1E1E"/>
          <w:sz w:val="23"/>
        </w:rPr>
        <w:t>CXRValidator</w:t>
      </w:r>
      <w:r>
        <w:rPr>
          <w:rFonts w:ascii="Times New Roman" w:hAnsi="Times New Roman"/>
          <w:b w:val="0"/>
          <w:i w:val="0"/>
          <w:color w:val="1E1E1E"/>
          <w:sz w:val="24"/>
        </w:rPr>
        <w:t xml:space="preserve">, </w:t>
      </w:r>
      <w:r>
        <w:rPr>
          <w:rFonts w:ascii="Times New Roman" w:hAnsi="Times New Roman"/>
          <w:b w:val="0"/>
          <w:i w:val="0"/>
          <w:color w:val="1E1E1E"/>
          <w:sz w:val="23"/>
        </w:rPr>
        <w:t>ModelDClassifier</w:t>
      </w:r>
      <w:r>
        <w:rPr>
          <w:rFonts w:ascii="Times New Roman" w:hAnsi="Times New Roman"/>
          <w:b w:val="0"/>
          <w:i w:val="0"/>
          <w:color w:val="1E1E1E"/>
          <w:sz w:val="24"/>
        </w:rPr>
        <w:t>, Pydantic schemas, and SQLAlchemy database models.</w:t>
      </w:r>
    </w:p>
    <w:p>
      <w:pPr>
        <w:keepNext/>
        <w:spacing w:before="80" w:after="40"/>
        <w:jc w:val="center"/>
      </w:pPr>
      <w:r>
        <w:drawing>
          <wp:inline xmlns:a="http://schemas.openxmlformats.org/drawingml/2006/main" xmlns:pic="http://schemas.openxmlformats.org/drawingml/2006/picture">
            <wp:extent cx="4058379" cy="2560320"/>
            <wp:docPr id="6" name="Picture 6"/>
            <wp:cNvGraphicFramePr>
              <a:graphicFrameLocks noChangeAspect="1"/>
            </wp:cNvGraphicFramePr>
            <a:graphic>
              <a:graphicData uri="http://schemas.openxmlformats.org/drawingml/2006/picture">
                <pic:pic>
                  <pic:nvPicPr>
                    <pic:cNvPr id="0" name="uml_class.png"/>
                    <pic:cNvPicPr/>
                  </pic:nvPicPr>
                  <pic:blipFill>
                    <a:blip r:embed="rId16"/>
                    <a:stretch>
                      <a:fillRect/>
                    </a:stretch>
                  </pic:blipFill>
                  <pic:spPr>
                    <a:xfrm>
                      <a:off x="0" y="0"/>
                      <a:ext cx="4058379" cy="2560320"/>
                    </a:xfrm>
                    <a:prstGeom prst="rect"/>
                  </pic:spPr>
                </pic:pic>
              </a:graphicData>
            </a:graphic>
          </wp:inline>
        </w:drawing>
      </w:r>
    </w:p>
    <w:p>
      <w:pPr>
        <w:spacing w:before="40" w:after="120"/>
        <w:jc w:val="center"/>
      </w:pPr>
      <w:r>
        <w:rPr>
          <w:rFonts w:ascii="Times New Roman" w:hAnsi="Times New Roman"/>
          <w:b/>
          <w:color w:val="0B1F3A"/>
          <w:sz w:val="22"/>
        </w:rPr>
        <w:t>Figure 6.5:</w:t>
      </w:r>
      <w:r>
        <w:rPr>
          <w:rFonts w:ascii="Times New Roman" w:hAnsi="Times New Roman"/>
          <w:i/>
          <w:color w:val="1E1E1E"/>
          <w:sz w:val="22"/>
        </w:rPr>
        <w:t xml:space="preserve"> UML Class Diagram of Backend Service Architecture</w:t>
      </w:r>
    </w:p>
    <w:p>
      <w:pPr>
        <w:pStyle w:val="Heading2"/>
        <w:keepNext/>
        <w:spacing w:before="140" w:after="60"/>
        <w:jc w:val="left"/>
      </w:pPr>
      <w:r>
        <w:rPr>
          <w:rFonts w:ascii="Times New Roman" w:hAnsi="Times New Roman"/>
          <w:b/>
          <w:color w:val="185FA5"/>
          <w:sz w:val="28"/>
        </w:rPr>
        <w:t>6.4 UML Behavioral Modeling</w:t>
      </w:r>
    </w:p>
    <w:p>
      <w:pPr>
        <w:pStyle w:val="Heading3"/>
        <w:keepNext/>
        <w:spacing w:before="100" w:after="40"/>
        <w:jc w:val="left"/>
      </w:pPr>
      <w:r>
        <w:rPr>
          <w:rFonts w:ascii="Times New Roman" w:hAnsi="Times New Roman"/>
          <w:b/>
          <w:color w:val="1E1E1E"/>
          <w:sz w:val="28"/>
        </w:rPr>
        <w:t>UML Sequence Diagram</w:t>
      </w:r>
    </w:p>
    <w:p>
      <w:pPr>
        <w:spacing w:before="0" w:after="70" w:line="276" w:lineRule="auto"/>
        <w:jc w:val="both"/>
      </w:pPr>
      <w:r>
        <w:rPr>
          <w:rFonts w:ascii="Times New Roman" w:hAnsi="Times New Roman"/>
          <w:b w:val="0"/>
          <w:i w:val="0"/>
          <w:color w:val="1E1E1E"/>
          <w:sz w:val="24"/>
        </w:rPr>
        <w:t>Figure 6.6 captures the dynamic interaction sequence during a diagnostic request. Crucially, it illustrates both the primary nominal execution path and the alternative rejection branch, wherein an invalid CXR is intercepted by the CXR Gate, returning HTTP 422 and bypassing disease inference, Grad-CAM generation, and database persistence.</w:t>
      </w:r>
    </w:p>
    <w:p>
      <w:pPr>
        <w:keepNext/>
        <w:spacing w:before="80" w:after="40"/>
        <w:jc w:val="center"/>
      </w:pPr>
      <w:r>
        <w:drawing>
          <wp:inline xmlns:a="http://schemas.openxmlformats.org/drawingml/2006/main" xmlns:pic="http://schemas.openxmlformats.org/drawingml/2006/picture">
            <wp:extent cx="3950337" cy="2560320"/>
            <wp:docPr id="7" name="Picture 7"/>
            <wp:cNvGraphicFramePr>
              <a:graphicFrameLocks noChangeAspect="1"/>
            </wp:cNvGraphicFramePr>
            <a:graphic>
              <a:graphicData uri="http://schemas.openxmlformats.org/drawingml/2006/picture">
                <pic:pic>
                  <pic:nvPicPr>
                    <pic:cNvPr id="0" name="uml_sequence.png"/>
                    <pic:cNvPicPr/>
                  </pic:nvPicPr>
                  <pic:blipFill>
                    <a:blip r:embed="rId17"/>
                    <a:stretch>
                      <a:fillRect/>
                    </a:stretch>
                  </pic:blipFill>
                  <pic:spPr>
                    <a:xfrm>
                      <a:off x="0" y="0"/>
                      <a:ext cx="3950337" cy="2560320"/>
                    </a:xfrm>
                    <a:prstGeom prst="rect"/>
                  </pic:spPr>
                </pic:pic>
              </a:graphicData>
            </a:graphic>
          </wp:inline>
        </w:drawing>
      </w:r>
    </w:p>
    <w:p>
      <w:pPr>
        <w:spacing w:before="40" w:after="120"/>
        <w:jc w:val="center"/>
      </w:pPr>
      <w:r>
        <w:rPr>
          <w:rFonts w:ascii="Times New Roman" w:hAnsi="Times New Roman"/>
          <w:b/>
          <w:color w:val="0B1F3A"/>
          <w:sz w:val="22"/>
        </w:rPr>
        <w:t>Figure 6.6:</w:t>
      </w:r>
      <w:r>
        <w:rPr>
          <w:rFonts w:ascii="Times New Roman" w:hAnsi="Times New Roman"/>
          <w:i/>
          <w:color w:val="1E1E1E"/>
          <w:sz w:val="22"/>
        </w:rPr>
        <w:t xml:space="preserve"> UML Sequence Diagram for Radiograph Diagnostic Ingestion</w:t>
      </w:r>
    </w:p>
    <w:p>
      <w:pPr>
        <w:pStyle w:val="Heading3"/>
        <w:keepNext/>
        <w:spacing w:before="100" w:after="40"/>
        <w:jc w:val="left"/>
      </w:pPr>
      <w:r>
        <w:rPr>
          <w:rFonts w:ascii="Times New Roman" w:hAnsi="Times New Roman"/>
          <w:b/>
          <w:color w:val="1E1E1E"/>
          <w:sz w:val="28"/>
        </w:rPr>
        <w:t>UML Activity Diagram</w:t>
      </w:r>
    </w:p>
    <w:p>
      <w:pPr>
        <w:spacing w:before="0" w:after="70" w:line="276" w:lineRule="auto"/>
        <w:jc w:val="both"/>
      </w:pPr>
      <w:r>
        <w:rPr>
          <w:rFonts w:ascii="Times New Roman" w:hAnsi="Times New Roman"/>
          <w:b w:val="0"/>
          <w:i w:val="0"/>
          <w:color w:val="1E1E1E"/>
          <w:sz w:val="24"/>
        </w:rPr>
        <w:t>Figure 6.7 models the end-to-end workflow activities from file upload to result display, explicitly depicting the gate decision diamond, the invalid upload termination branch, and the parallel execution of Grad-CAM and triage classification.</w:t>
      </w:r>
    </w:p>
    <w:p>
      <w:pPr>
        <w:keepNext/>
        <w:spacing w:before="80" w:after="40"/>
        <w:jc w:val="center"/>
      </w:pPr>
      <w:r>
        <w:drawing>
          <wp:inline xmlns:a="http://schemas.openxmlformats.org/drawingml/2006/main" xmlns:pic="http://schemas.openxmlformats.org/drawingml/2006/picture">
            <wp:extent cx="3423349" cy="2560320"/>
            <wp:docPr id="8" name="Picture 8"/>
            <wp:cNvGraphicFramePr>
              <a:graphicFrameLocks noChangeAspect="1"/>
            </wp:cNvGraphicFramePr>
            <a:graphic>
              <a:graphicData uri="http://schemas.openxmlformats.org/drawingml/2006/picture">
                <pic:pic>
                  <pic:nvPicPr>
                    <pic:cNvPr id="0" name="uml_activity.png"/>
                    <pic:cNvPicPr/>
                  </pic:nvPicPr>
                  <pic:blipFill>
                    <a:blip r:embed="rId18"/>
                    <a:stretch>
                      <a:fillRect/>
                    </a:stretch>
                  </pic:blipFill>
                  <pic:spPr>
                    <a:xfrm>
                      <a:off x="0" y="0"/>
                      <a:ext cx="3423349" cy="2560320"/>
                    </a:xfrm>
                    <a:prstGeom prst="rect"/>
                  </pic:spPr>
                </pic:pic>
              </a:graphicData>
            </a:graphic>
          </wp:inline>
        </w:drawing>
      </w:r>
    </w:p>
    <w:p>
      <w:pPr>
        <w:spacing w:before="40" w:after="120"/>
        <w:jc w:val="center"/>
      </w:pPr>
      <w:r>
        <w:rPr>
          <w:rFonts w:ascii="Times New Roman" w:hAnsi="Times New Roman"/>
          <w:b/>
          <w:color w:val="0B1F3A"/>
          <w:sz w:val="22"/>
        </w:rPr>
        <w:t>Figure 6.7:</w:t>
      </w:r>
      <w:r>
        <w:rPr>
          <w:rFonts w:ascii="Times New Roman" w:hAnsi="Times New Roman"/>
          <w:i/>
          <w:color w:val="1E1E1E"/>
          <w:sz w:val="22"/>
        </w:rPr>
        <w:t xml:space="preserve"> UML Activity Diagram with Two-Stage CXR Validation Gate</w:t>
      </w:r>
    </w:p>
    <w:p>
      <w:pPr>
        <w:pStyle w:val="Heading3"/>
        <w:keepNext/>
        <w:spacing w:before="100" w:after="40"/>
        <w:jc w:val="left"/>
      </w:pPr>
      <w:r>
        <w:rPr>
          <w:rFonts w:ascii="Times New Roman" w:hAnsi="Times New Roman"/>
          <w:b/>
          <w:color w:val="1E1E1E"/>
          <w:sz w:val="28"/>
        </w:rPr>
        <w:t>UML Component Diagram</w:t>
      </w:r>
    </w:p>
    <w:p>
      <w:pPr>
        <w:spacing w:before="0" w:after="70" w:line="276" w:lineRule="auto"/>
        <w:jc w:val="both"/>
      </w:pPr>
      <w:r>
        <w:rPr>
          <w:rFonts w:ascii="Times New Roman" w:hAnsi="Times New Roman"/>
          <w:b w:val="0"/>
          <w:i w:val="0"/>
          <w:color w:val="1E1E1E"/>
          <w:sz w:val="24"/>
        </w:rPr>
        <w:t>Figure 6.8 illustrates the modular component architecture of LungAI, detailing internal component boundaries, dependencies, and interfaces across the presentation, application, machine learning, and persistence tiers.</w:t>
      </w:r>
    </w:p>
    <w:p>
      <w:pPr>
        <w:keepNext/>
        <w:spacing w:before="80" w:after="40"/>
        <w:jc w:val="center"/>
      </w:pPr>
      <w:r>
        <w:drawing>
          <wp:inline xmlns:a="http://schemas.openxmlformats.org/drawingml/2006/main" xmlns:pic="http://schemas.openxmlformats.org/drawingml/2006/picture">
            <wp:extent cx="4286378" cy="2560320"/>
            <wp:docPr id="9" name="Picture 9"/>
            <wp:cNvGraphicFramePr>
              <a:graphicFrameLocks noChangeAspect="1"/>
            </wp:cNvGraphicFramePr>
            <a:graphic>
              <a:graphicData uri="http://schemas.openxmlformats.org/drawingml/2006/picture">
                <pic:pic>
                  <pic:nvPicPr>
                    <pic:cNvPr id="0" name="uml_component.png"/>
                    <pic:cNvPicPr/>
                  </pic:nvPicPr>
                  <pic:blipFill>
                    <a:blip r:embed="rId19"/>
                    <a:stretch>
                      <a:fillRect/>
                    </a:stretch>
                  </pic:blipFill>
                  <pic:spPr>
                    <a:xfrm>
                      <a:off x="0" y="0"/>
                      <a:ext cx="4286378" cy="2560320"/>
                    </a:xfrm>
                    <a:prstGeom prst="rect"/>
                  </pic:spPr>
                </pic:pic>
              </a:graphicData>
            </a:graphic>
          </wp:inline>
        </w:drawing>
      </w:r>
    </w:p>
    <w:p>
      <w:pPr>
        <w:spacing w:before="40" w:after="120"/>
        <w:jc w:val="center"/>
      </w:pPr>
      <w:r>
        <w:rPr>
          <w:rFonts w:ascii="Times New Roman" w:hAnsi="Times New Roman"/>
          <w:b/>
          <w:color w:val="0B1F3A"/>
          <w:sz w:val="22"/>
        </w:rPr>
        <w:t>Figure 6.8:</w:t>
      </w:r>
      <w:r>
        <w:rPr>
          <w:rFonts w:ascii="Times New Roman" w:hAnsi="Times New Roman"/>
          <w:i/>
          <w:color w:val="1E1E1E"/>
          <w:sz w:val="22"/>
        </w:rPr>
        <w:t xml:space="preserve"> UML Component Diagram of Full-Stack System</w:t>
      </w:r>
    </w:p>
    <w:p>
      <w:pPr>
        <w:pStyle w:val="Heading3"/>
        <w:keepNext/>
        <w:spacing w:before="100" w:after="40"/>
        <w:jc w:val="left"/>
      </w:pPr>
      <w:r>
        <w:rPr>
          <w:rFonts w:ascii="Times New Roman" w:hAnsi="Times New Roman"/>
          <w:b/>
          <w:color w:val="1E1E1E"/>
          <w:sz w:val="28"/>
        </w:rPr>
        <w:t>UML Deployment Diagram</w:t>
      </w:r>
    </w:p>
    <w:p>
      <w:pPr>
        <w:spacing w:before="0" w:after="70" w:line="276" w:lineRule="auto"/>
        <w:jc w:val="both"/>
      </w:pPr>
      <w:r>
        <w:rPr>
          <w:rFonts w:ascii="Times New Roman" w:hAnsi="Times New Roman"/>
          <w:b w:val="0"/>
          <w:i w:val="0"/>
          <w:color w:val="1E1E1E"/>
          <w:sz w:val="24"/>
        </w:rPr>
        <w:t>Figure 6.9 illustrates the physical deployment topology on a clinical workstation, detailing the execution nodes: User Web Browser, React Frontend Server, FastAPI ASGI Server, PyTorch ML Runtime, and SQLite Database File.</w:t>
      </w:r>
    </w:p>
    <w:p>
      <w:pPr>
        <w:keepNext/>
        <w:spacing w:before="80" w:after="40"/>
        <w:jc w:val="center"/>
      </w:pPr>
      <w:r>
        <w:drawing>
          <wp:inline xmlns:a="http://schemas.openxmlformats.org/drawingml/2006/main" xmlns:pic="http://schemas.openxmlformats.org/drawingml/2006/picture">
            <wp:extent cx="4504866" cy="2560320"/>
            <wp:docPr id="10" name="Picture 10"/>
            <wp:cNvGraphicFramePr>
              <a:graphicFrameLocks noChangeAspect="1"/>
            </wp:cNvGraphicFramePr>
            <a:graphic>
              <a:graphicData uri="http://schemas.openxmlformats.org/drawingml/2006/picture">
                <pic:pic>
                  <pic:nvPicPr>
                    <pic:cNvPr id="0" name="uml_deployment.png"/>
                    <pic:cNvPicPr/>
                  </pic:nvPicPr>
                  <pic:blipFill>
                    <a:blip r:embed="rId20"/>
                    <a:stretch>
                      <a:fillRect/>
                    </a:stretch>
                  </pic:blipFill>
                  <pic:spPr>
                    <a:xfrm>
                      <a:off x="0" y="0"/>
                      <a:ext cx="4504866" cy="2560320"/>
                    </a:xfrm>
                    <a:prstGeom prst="rect"/>
                  </pic:spPr>
                </pic:pic>
              </a:graphicData>
            </a:graphic>
          </wp:inline>
        </w:drawing>
      </w:r>
    </w:p>
    <w:p>
      <w:pPr>
        <w:spacing w:before="40" w:after="120"/>
        <w:jc w:val="center"/>
      </w:pPr>
      <w:r>
        <w:rPr>
          <w:rFonts w:ascii="Times New Roman" w:hAnsi="Times New Roman"/>
          <w:b/>
          <w:color w:val="0B1F3A"/>
          <w:sz w:val="22"/>
        </w:rPr>
        <w:t>Figure 6.9:</w:t>
      </w:r>
      <w:r>
        <w:rPr>
          <w:rFonts w:ascii="Times New Roman" w:hAnsi="Times New Roman"/>
          <w:i/>
          <w:color w:val="1E1E1E"/>
          <w:sz w:val="22"/>
        </w:rPr>
        <w:t xml:space="preserve"> UML Deployment Diagram for Clinical Server Topology</w:t>
      </w:r>
    </w:p>
    <w:p>
      <w:pPr>
        <w:pStyle w:val="Heading2"/>
        <w:keepNext/>
        <w:spacing w:before="140" w:after="60"/>
        <w:jc w:val="left"/>
      </w:pPr>
      <w:r>
        <w:rPr>
          <w:rFonts w:ascii="Times New Roman" w:hAnsi="Times New Roman"/>
          <w:b/>
          <w:color w:val="185FA5"/>
          <w:sz w:val="28"/>
        </w:rPr>
        <w:t>6.5 Database Design &amp; Entity Relationship Modeling</w:t>
      </w:r>
    </w:p>
    <w:p>
      <w:pPr>
        <w:spacing w:before="0" w:after="70" w:line="276" w:lineRule="auto"/>
        <w:jc w:val="both"/>
      </w:pPr>
      <w:r>
        <w:rPr>
          <w:rFonts w:ascii="Times New Roman" w:hAnsi="Times New Roman"/>
          <w:b w:val="0"/>
          <w:i w:val="0"/>
          <w:color w:val="1E1E1E"/>
          <w:sz w:val="24"/>
        </w:rPr>
        <w:t xml:space="preserve">Figure 6.10 details the Entity Relationship (ER) diagram of the relational database schema implemented in SQLite via SQLAlchemy. The schema captures three primary entities: </w:t>
      </w:r>
      <w:r>
        <w:rPr>
          <w:rFonts w:ascii="Times New Roman" w:hAnsi="Times New Roman"/>
          <w:b w:val="0"/>
          <w:i w:val="0"/>
          <w:color w:val="1E1E1E"/>
          <w:sz w:val="23"/>
        </w:rPr>
        <w:t>Patient</w:t>
      </w:r>
      <w:r>
        <w:rPr>
          <w:rFonts w:ascii="Times New Roman" w:hAnsi="Times New Roman"/>
          <w:b w:val="0"/>
          <w:i w:val="0"/>
          <w:color w:val="1E1E1E"/>
          <w:sz w:val="24"/>
        </w:rPr>
        <w:t xml:space="preserve"> (storing demographic metadata and patient identifiers), </w:t>
      </w:r>
      <w:r>
        <w:rPr>
          <w:rFonts w:ascii="Times New Roman" w:hAnsi="Times New Roman"/>
          <w:b w:val="0"/>
          <w:i w:val="0"/>
          <w:color w:val="1E1E1E"/>
          <w:sz w:val="23"/>
        </w:rPr>
        <w:t>Prediction</w:t>
      </w:r>
      <w:r>
        <w:rPr>
          <w:rFonts w:ascii="Times New Roman" w:hAnsi="Times New Roman"/>
          <w:b w:val="0"/>
          <w:i w:val="0"/>
          <w:color w:val="1E1E1E"/>
          <w:sz w:val="24"/>
        </w:rPr>
        <w:t xml:space="preserve"> (storing study timestamps, file paths, raw probabilities, predicted class, confidence, triage tier, and gate confidence), and </w:t>
      </w:r>
      <w:r>
        <w:rPr>
          <w:rFonts w:ascii="Times New Roman" w:hAnsi="Times New Roman"/>
          <w:b w:val="0"/>
          <w:i w:val="0"/>
          <w:color w:val="1E1E1E"/>
          <w:sz w:val="23"/>
        </w:rPr>
        <w:t>ModelMetric</w:t>
      </w:r>
      <w:r>
        <w:rPr>
          <w:rFonts w:ascii="Times New Roman" w:hAnsi="Times New Roman"/>
          <w:b w:val="0"/>
          <w:i w:val="0"/>
          <w:color w:val="1E1E1E"/>
          <w:sz w:val="24"/>
        </w:rPr>
        <w:t xml:space="preserve"> (storing benchmark tracking data across experimental runs).</w:t>
      </w:r>
    </w:p>
    <w:p>
      <w:pPr>
        <w:keepNext/>
        <w:spacing w:before="80" w:after="40"/>
        <w:jc w:val="center"/>
      </w:pPr>
      <w:r>
        <w:drawing>
          <wp:inline xmlns:a="http://schemas.openxmlformats.org/drawingml/2006/main" xmlns:pic="http://schemas.openxmlformats.org/drawingml/2006/picture">
            <wp:extent cx="4541520" cy="2560320"/>
            <wp:docPr id="11" name="Picture 11"/>
            <wp:cNvGraphicFramePr>
              <a:graphicFrameLocks noChangeAspect="1"/>
            </wp:cNvGraphicFramePr>
            <a:graphic>
              <a:graphicData uri="http://schemas.openxmlformats.org/drawingml/2006/picture">
                <pic:pic>
                  <pic:nvPicPr>
                    <pic:cNvPr id="0" name="database_er.png"/>
                    <pic:cNvPicPr/>
                  </pic:nvPicPr>
                  <pic:blipFill>
                    <a:blip r:embed="rId21"/>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6.10:</w:t>
      </w:r>
      <w:r>
        <w:rPr>
          <w:rFonts w:ascii="Times New Roman" w:hAnsi="Times New Roman"/>
          <w:i/>
          <w:color w:val="1E1E1E"/>
          <w:sz w:val="22"/>
        </w:rPr>
        <w:t xml:space="preserve"> Entity Relationship Diagram for Patient Case Persistence</w:t>
      </w:r>
    </w:p>
    <w:p>
      <w:r>
        <w:br w:type="page"/>
      </w:r>
    </w:p>
    <w:p>
      <w:pPr>
        <w:pStyle w:val="Heading1"/>
        <w:keepNext/>
        <w:spacing w:before="160" w:after="120"/>
        <w:jc w:val="left"/>
      </w:pPr>
      <w:r>
        <w:rPr>
          <w:rFonts w:ascii="Times New Roman" w:hAnsi="Times New Roman"/>
          <w:b/>
          <w:color w:val="0B1F3A"/>
          <w:sz w:val="32"/>
        </w:rPr>
        <w:t>CHAPTER 7 – DATASET AND DATA PREPROCESSING</w:t>
      </w:r>
    </w:p>
    <w:p>
      <w:pPr>
        <w:pStyle w:val="Heading2"/>
        <w:keepNext/>
        <w:spacing w:before="140" w:after="60"/>
        <w:jc w:val="left"/>
      </w:pPr>
      <w:r>
        <w:rPr>
          <w:rFonts w:ascii="Times New Roman" w:hAnsi="Times New Roman"/>
          <w:b/>
          <w:color w:val="185FA5"/>
          <w:sz w:val="28"/>
        </w:rPr>
        <w:t>7.1 Forensic Audit of Public Benchmarks &amp; Artifact Discovery</w:t>
      </w:r>
    </w:p>
    <w:p>
      <w:pPr>
        <w:spacing w:before="0" w:after="70" w:line="276" w:lineRule="auto"/>
        <w:jc w:val="both"/>
      </w:pPr>
      <w:r>
        <w:rPr>
          <w:rFonts w:ascii="Times New Roman" w:hAnsi="Times New Roman"/>
          <w:b w:val="0"/>
          <w:i w:val="0"/>
          <w:color w:val="1E1E1E"/>
          <w:sz w:val="24"/>
        </w:rPr>
        <w:t>Prior to model development, an exhaustive forensic audit of widely cited public chest radiography collections was conducted. This investigation uncovered widespread structural anomalies that undermine published academic claims:</w:t>
      </w:r>
    </w:p>
    <w:p>
      <w:pPr>
        <w:pStyle w:val="ListNumber"/>
        <w:spacing w:before="0" w:after="40" w:line="276" w:lineRule="auto"/>
        <w:jc w:val="both"/>
      </w:pPr>
      <w:r>
        <w:rPr>
          <w:rFonts w:ascii="Times New Roman" w:hAnsi="Times New Roman"/>
          <w:b/>
          <w:i w:val="0"/>
          <w:color w:val="0B1F3A"/>
          <w:sz w:val="24"/>
        </w:rPr>
        <w:t>Cross-Modality Contamination</w:t>
      </w:r>
      <w:r>
        <w:rPr>
          <w:rFonts w:ascii="Times New Roman" w:hAnsi="Times New Roman"/>
          <w:b w:val="0"/>
          <w:i w:val="0"/>
          <w:color w:val="1E1E1E"/>
          <w:sz w:val="24"/>
        </w:rPr>
        <w:t>: Popular aggregated online collections were found to contain axial and coronal Computed Tomography (CT) slices mislabeled as planar chest radiographs. Because CT cross-sections display completely different physical attenuation geometries, their inclusion artificially distorts convolutional filter learning.</w:t>
      </w:r>
    </w:p>
    <w:p>
      <w:pPr>
        <w:pStyle w:val="ListNumber"/>
        <w:spacing w:before="0" w:after="40" w:line="276" w:lineRule="auto"/>
        <w:jc w:val="both"/>
      </w:pPr>
      <w:r>
        <w:rPr>
          <w:rFonts w:ascii="Times New Roman" w:hAnsi="Times New Roman"/>
          <w:b/>
          <w:i w:val="0"/>
          <w:color w:val="0B1F3A"/>
          <w:sz w:val="24"/>
        </w:rPr>
        <w:t>Non-Radiographic Image Contamination</w:t>
      </w:r>
      <w:r>
        <w:rPr>
          <w:rFonts w:ascii="Times New Roman" w:hAnsi="Times New Roman"/>
          <w:b w:val="0"/>
          <w:i w:val="0"/>
          <w:color w:val="1E1E1E"/>
          <w:sz w:val="24"/>
        </w:rPr>
        <w:t>: Online repositories contained corrupt files, non-medical digital photographs, lateral skull radiographs, and pediatric extremity views.</w:t>
      </w:r>
    </w:p>
    <w:p>
      <w:pPr>
        <w:pStyle w:val="ListNumber"/>
        <w:spacing w:before="0" w:after="40" w:line="276" w:lineRule="auto"/>
        <w:jc w:val="both"/>
      </w:pPr>
      <w:r>
        <w:rPr>
          <w:rFonts w:ascii="Times New Roman" w:hAnsi="Times New Roman"/>
          <w:b/>
          <w:i w:val="0"/>
          <w:color w:val="0B1F3A"/>
          <w:sz w:val="24"/>
        </w:rPr>
        <w:t>Severe Acquisition-Site Confounding</w:t>
      </w:r>
      <w:r>
        <w:rPr>
          <w:rFonts w:ascii="Times New Roman" w:hAnsi="Times New Roman"/>
          <w:b w:val="0"/>
          <w:i w:val="0"/>
          <w:color w:val="1E1E1E"/>
          <w:sz w:val="24"/>
        </w:rPr>
        <w:t>: Aggregated datasets frequently sourced specific disease categories from single institutions (e.g., all COVID-19 cases from a specialized Italian hospital cohort and all Normal cases from an outpatient clinic). Consequently, models trained on these collections learn to classify the acquisition hospital rather than the disease pathology.</w:t>
      </w:r>
    </w:p>
    <w:p>
      <w:pPr>
        <w:pStyle w:val="ListNumber"/>
        <w:spacing w:before="0" w:after="40" w:line="276" w:lineRule="auto"/>
        <w:jc w:val="both"/>
      </w:pPr>
      <w:r>
        <w:rPr>
          <w:rFonts w:ascii="Times New Roman" w:hAnsi="Times New Roman"/>
          <w:b/>
          <w:i w:val="0"/>
          <w:color w:val="0B1F3A"/>
          <w:sz w:val="24"/>
        </w:rPr>
        <w:t>Patient-Identity Leakage</w:t>
      </w:r>
      <w:r>
        <w:rPr>
          <w:rFonts w:ascii="Times New Roman" w:hAnsi="Times New Roman"/>
          <w:b w:val="0"/>
          <w:i w:val="0"/>
          <w:color w:val="1E1E1E"/>
          <w:sz w:val="24"/>
        </w:rPr>
        <w:t>: Many published studies perform random train/test splits at the image level. In longitudinal clinical cohorts where patients undergo multiple sequential radiographs, random splitting places images of the same patient into both training and test partitions, resulting in severe data leakage and artificially inflated test metrics.</w:t>
      </w:r>
    </w:p>
    <w:p>
      <w:pPr>
        <w:pStyle w:val="Heading2"/>
        <w:keepNext/>
        <w:spacing w:before="140" w:after="60"/>
        <w:jc w:val="left"/>
      </w:pPr>
      <w:r>
        <w:rPr>
          <w:rFonts w:ascii="Times New Roman" w:hAnsi="Times New Roman"/>
          <w:b/>
          <w:color w:val="185FA5"/>
          <w:sz w:val="28"/>
        </w:rPr>
        <w:t>7.2 The Unified V5 Research Dataset Reconstruction</w:t>
      </w:r>
    </w:p>
    <w:p>
      <w:pPr>
        <w:spacing w:before="0" w:after="70" w:line="276" w:lineRule="auto"/>
        <w:jc w:val="both"/>
      </w:pPr>
      <w:r>
        <w:rPr>
          <w:rFonts w:ascii="Times New Roman" w:hAnsi="Times New Roman"/>
          <w:b w:val="0"/>
          <w:i w:val="0"/>
          <w:color w:val="1E1E1E"/>
          <w:sz w:val="24"/>
        </w:rPr>
        <w:t xml:space="preserve">To establish an uncompromised scientific foundation, the </w:t>
      </w:r>
      <w:r>
        <w:rPr>
          <w:rFonts w:ascii="Times New Roman" w:hAnsi="Times New Roman"/>
          <w:b/>
          <w:i w:val="0"/>
          <w:color w:val="0B1F3A"/>
          <w:sz w:val="24"/>
        </w:rPr>
        <w:t>Unified V5 Research Dataset</w:t>
      </w:r>
      <w:r>
        <w:rPr>
          <w:rFonts w:ascii="Times New Roman" w:hAnsi="Times New Roman"/>
          <w:b w:val="0"/>
          <w:i w:val="0"/>
          <w:color w:val="1E1E1E"/>
          <w:sz w:val="24"/>
        </w:rPr>
        <w:t xml:space="preserve"> was engineered through rigorous programmatic and radiological filtering. All axial CT slices, non-planar views, and corrupted images were permanently eliminated. The resulting V5 dataset comprises </w:t>
      </w:r>
      <w:r>
        <w:rPr>
          <w:rFonts w:ascii="Times New Roman" w:hAnsi="Times New Roman"/>
          <w:b/>
          <w:i w:val="0"/>
          <w:color w:val="0B1F3A"/>
          <w:sz w:val="24"/>
        </w:rPr>
        <w:t>10,547 verified planar chest radiographs</w:t>
      </w:r>
      <w:r>
        <w:rPr>
          <w:rFonts w:ascii="Times New Roman" w:hAnsi="Times New Roman"/>
          <w:b w:val="0"/>
          <w:i w:val="0"/>
          <w:color w:val="1E1E1E"/>
          <w:sz w:val="24"/>
        </w:rPr>
        <w:t xml:space="preserve"> originating from </w:t>
      </w:r>
      <w:r>
        <w:rPr>
          <w:rFonts w:ascii="Times New Roman" w:hAnsi="Times New Roman"/>
          <w:b/>
          <w:i w:val="0"/>
          <w:color w:val="0B1F3A"/>
          <w:sz w:val="24"/>
        </w:rPr>
        <w:t>10,270 unique patients</w:t>
      </w:r>
      <w:r>
        <w:rPr>
          <w:rFonts w:ascii="Times New Roman" w:hAnsi="Times New Roman"/>
          <w:b w:val="0"/>
          <w:i w:val="0"/>
          <w:color w:val="1E1E1E"/>
          <w:sz w:val="24"/>
        </w:rPr>
        <w:t xml:space="preserve"> across eight distinct acquisition sources. Table 7.1 details the class distribution across acquisition sources.</w:t>
      </w:r>
    </w:p>
    <w:p>
      <w:pPr>
        <w:keepNext/>
        <w:spacing w:before="120" w:after="40"/>
        <w:jc w:val="center"/>
      </w:pPr>
      <w:r>
        <w:rPr>
          <w:rFonts w:ascii="Times New Roman" w:hAnsi="Times New Roman"/>
          <w:b/>
          <w:color w:val="0B1F3A"/>
          <w:sz w:val="22"/>
        </w:rPr>
        <w:t>Table 7.1:</w:t>
      </w:r>
      <w:r>
        <w:rPr>
          <w:rFonts w:ascii="Times New Roman" w:hAnsi="Times New Roman"/>
          <w:b w:val="0"/>
          <w:color w:val="1E1E1E"/>
          <w:sz w:val="22"/>
        </w:rPr>
        <w:t xml:space="preserve"> Class Distribution Across Acquisition Sources in Unified V5 Dataset</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170"/>
        <w:gridCol w:w="1170"/>
        <w:gridCol w:w="1170"/>
        <w:gridCol w:w="1170"/>
        <w:gridCol w:w="1170"/>
        <w:gridCol w:w="1170"/>
        <w:gridCol w:w="1170"/>
        <w:gridCol w:w="1170"/>
      </w:tblGrid>
      <w:tr>
        <w:trPr>
          <w:cantSplit/>
          <w:tblHeader/>
        </w:trPr>
        <w:tc>
          <w:tcPr>
            <w:tcW w:type="dxa" w:w="2016"/>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Acquisition Source / Hospital Network</w:t>
            </w:r>
          </w:p>
        </w:tc>
        <w:tc>
          <w:tcPr>
            <w:tcW w:type="dxa" w:w="100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COVID-19</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Normal</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Pleural Effusion</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Pneumonia</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Nodule / Mass</w:t>
            </w:r>
          </w:p>
        </w:tc>
        <w:tc>
          <w:tcPr>
            <w:tcW w:type="dxa" w:w="100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Tuberculosis</w:t>
            </w:r>
          </w:p>
        </w:tc>
        <w:tc>
          <w:tcPr>
            <w:tcW w:type="dxa" w:w="100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Total Images</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8"/>
              </w:rPr>
              <w:t>Existing COVID-19 Collection</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1,942</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1,942</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8"/>
              </w:rPr>
              <w:t>Existing Normal Collection</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1,199</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1,199</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8"/>
              </w:rPr>
              <w:t>Existing Pneumonia Collection</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1,395</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1,395</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8"/>
              </w:rPr>
              <w:t>Existing Tuberculosis Collection</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665</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665</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8"/>
              </w:rPr>
              <w:t>JSRT Benchmark</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67</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78</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145</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8"/>
              </w:rPr>
              <w:t>NIH ChestX-ray14 Cohort</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171</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131</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15</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140</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457</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8"/>
              </w:rPr>
              <w:t>TBX11K Benchmark (CUHK)</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1,199</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1,395</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683</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3,277</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8"/>
              </w:rPr>
              <w:t>VinBigData (VinDr-CXR)</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931</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536</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1,467</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18"/>
              </w:rPr>
              <w:t>Unified V5 Total</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8"/>
              </w:rPr>
              <w:t>1,942</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8"/>
              </w:rPr>
              <w:t>2,636</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8"/>
              </w:rPr>
              <w:t>1,062</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8"/>
              </w:rPr>
              <w:t>2,805</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8"/>
              </w:rPr>
              <w:t>754</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8"/>
              </w:rPr>
              <w:t>1,348</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8"/>
              </w:rPr>
              <w:t>10,547</w:t>
            </w:r>
          </w:p>
        </w:tc>
      </w:tr>
    </w:tbl>
    <w:p>
      <w:pPr>
        <w:spacing w:before="0" w:after="80"/>
      </w:pPr>
    </w:p>
    <w:p>
      <w:pPr>
        <w:pStyle w:val="Heading2"/>
        <w:keepNext/>
        <w:spacing w:before="140" w:after="60"/>
        <w:jc w:val="left"/>
      </w:pPr>
      <w:r>
        <w:rPr>
          <w:rFonts w:ascii="Times New Roman" w:hAnsi="Times New Roman"/>
          <w:b/>
          <w:color w:val="185FA5"/>
          <w:sz w:val="28"/>
        </w:rPr>
        <w:t>7.3 Multi-Source Training Pipeline</w:t>
      </w:r>
    </w:p>
    <w:p>
      <w:pPr>
        <w:spacing w:before="0" w:after="70" w:line="276" w:lineRule="auto"/>
        <w:jc w:val="both"/>
      </w:pPr>
      <w:r>
        <w:rPr>
          <w:rFonts w:ascii="Times New Roman" w:hAnsi="Times New Roman"/>
          <w:b w:val="0"/>
          <w:i w:val="0"/>
          <w:color w:val="1E1E1E"/>
          <w:sz w:val="24"/>
        </w:rPr>
        <w:t>Figure 7.1 illustrates the complete multi-source dataset harmonization, forensic filtering, patient-level partitioning, and training pipeline.</w:t>
      </w:r>
    </w:p>
    <w:p>
      <w:pPr>
        <w:keepNext/>
        <w:spacing w:before="80" w:after="40"/>
        <w:jc w:val="center"/>
      </w:pPr>
      <w:r>
        <w:drawing>
          <wp:inline xmlns:a="http://schemas.openxmlformats.org/drawingml/2006/main" xmlns:pic="http://schemas.openxmlformats.org/drawingml/2006/picture">
            <wp:extent cx="4541520" cy="2560320"/>
            <wp:docPr id="12" name="Picture 12"/>
            <wp:cNvGraphicFramePr>
              <a:graphicFrameLocks noChangeAspect="1"/>
            </wp:cNvGraphicFramePr>
            <a:graphic>
              <a:graphicData uri="http://schemas.openxmlformats.org/drawingml/2006/picture">
                <pic:pic>
                  <pic:nvPicPr>
                    <pic:cNvPr id="0" name="dataset_training_pipeline.png"/>
                    <pic:cNvPicPr/>
                  </pic:nvPicPr>
                  <pic:blipFill>
                    <a:blip r:embed="rId22"/>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7.1:</w:t>
      </w:r>
      <w:r>
        <w:rPr>
          <w:rFonts w:ascii="Times New Roman" w:hAnsi="Times New Roman"/>
          <w:i/>
          <w:color w:val="1E1E1E"/>
          <w:sz w:val="22"/>
        </w:rPr>
        <w:t xml:space="preserve"> Multi-Source Dataset Ingestion and Partitioning Pipeline</w:t>
      </w:r>
    </w:p>
    <w:p>
      <w:pPr>
        <w:pStyle w:val="Heading2"/>
        <w:keepNext/>
        <w:spacing w:before="140" w:after="60"/>
        <w:jc w:val="left"/>
      </w:pPr>
      <w:r>
        <w:rPr>
          <w:rFonts w:ascii="Times New Roman" w:hAnsi="Times New Roman"/>
          <w:b/>
          <w:color w:val="185FA5"/>
          <w:sz w:val="28"/>
        </w:rPr>
        <w:t>7.4 Acquisition-Site Confounding Analysis (Cramér's V = 0.7654)</w:t>
      </w:r>
    </w:p>
    <w:p>
      <w:pPr>
        <w:spacing w:before="0" w:after="70" w:line="276" w:lineRule="auto"/>
        <w:jc w:val="both"/>
      </w:pPr>
      <w:r>
        <w:rPr>
          <w:rFonts w:ascii="Times New Roman" w:hAnsi="Times New Roman"/>
          <w:b w:val="0"/>
          <w:i w:val="0"/>
          <w:color w:val="1E1E1E"/>
          <w:sz w:val="24"/>
        </w:rPr>
        <w:t xml:space="preserve">To quantify the degree of acquisition-site confounding across the V5 collection, Cramér's V statistic was calculated between acquisition source </w:t>
      </w:r>
      <w:r>
        <w:rPr>
          <w:rFonts w:ascii="Times New Roman" w:hAnsi="Times New Roman"/>
          <w:b w:val="0"/>
          <w:i/>
          <w:color w:val="1E1E1E"/>
          <w:sz w:val="24"/>
        </w:rPr>
        <w:t>S</w:t>
      </w:r>
      <w:r>
        <w:rPr>
          <w:rFonts w:ascii="Times New Roman" w:hAnsi="Times New Roman"/>
          <w:b w:val="0"/>
          <w:i w:val="0"/>
          <w:color w:val="1E1E1E"/>
          <w:sz w:val="24"/>
        </w:rPr>
        <w:t xml:space="preserve"> and disease label </w:t>
      </w:r>
      <w:r>
        <w:rPr>
          <w:rFonts w:ascii="Times New Roman" w:hAnsi="Times New Roman"/>
          <w:b w:val="0"/>
          <w:i/>
          <w:color w:val="1E1E1E"/>
          <w:sz w:val="24"/>
        </w:rPr>
        <w:t>Y</w:t>
      </w:r>
      <w:r>
        <w:rPr>
          <w:rFonts w:ascii="Times New Roman" w:hAnsi="Times New Roman"/>
          <w:b w:val="0"/>
          <w:i w:val="0"/>
          <w:color w:val="1E1E1E"/>
          <w:sz w:val="24"/>
        </w:rPr>
        <w:t>:</w:t>
      </w:r>
    </w:p>
    <w:p>
      <w:pPr>
        <w:spacing w:before="0" w:after="70" w:line="276" w:lineRule="auto"/>
        <w:jc w:val="both"/>
      </w:pPr>
      <w:r>
        <w:rPr>
          <w:rFonts w:ascii="Times New Roman" w:hAnsi="Times New Roman"/>
          <w:b w:val="0"/>
          <w:i w:val="0"/>
          <w:color w:val="1E1E1E"/>
          <w:sz w:val="24"/>
        </w:rPr>
        <w:t>V = \sqrt{</w:t>
      </w:r>
    </w:p>
    <w:p>
      <w:pPr>
        <w:spacing w:before="0" w:after="70" w:line="276" w:lineRule="auto"/>
        <w:jc w:val="both"/>
      </w:pPr>
      <w:r>
        <w:rPr>
          <w:rFonts w:ascii="Times New Roman" w:hAnsi="Times New Roman"/>
          <w:b w:val="0"/>
          <w:i w:val="0"/>
          <w:color w:val="1E1E1E"/>
          <w:sz w:val="24"/>
        </w:rPr>
        <w:t>rac{\chi^2}{N \cdot \min(r-1, c-1)}}</w:t>
      </w:r>
    </w:p>
    <w:p>
      <w:pPr>
        <w:spacing w:before="0" w:after="70" w:line="276" w:lineRule="auto"/>
        <w:jc w:val="both"/>
      </w:pPr>
      <w:r>
        <w:rPr>
          <w:rFonts w:ascii="Times New Roman" w:hAnsi="Times New Roman"/>
          <w:b w:val="0"/>
          <w:i w:val="0"/>
          <w:color w:val="1E1E1E"/>
          <w:sz w:val="24"/>
        </w:rPr>
        <w:t xml:space="preserve">where </w:t>
      </w:r>
      <w:r>
        <w:rPr>
          <w:rFonts w:ascii="Times New Roman" w:hAnsi="Times New Roman"/>
          <w:b w:val="0"/>
          <w:i/>
          <w:color w:val="1E1E1E"/>
          <w:sz w:val="24"/>
        </w:rPr>
        <w:t>\chi^2</w:t>
      </w:r>
      <w:r>
        <w:rPr>
          <w:rFonts w:ascii="Times New Roman" w:hAnsi="Times New Roman"/>
          <w:b w:val="0"/>
          <w:i w:val="0"/>
          <w:color w:val="1E1E1E"/>
          <w:sz w:val="24"/>
        </w:rPr>
        <w:t xml:space="preserve"> represents the Pearson chi-square statistic, </w:t>
      </w:r>
      <w:r>
        <w:rPr>
          <w:rFonts w:ascii="Times New Roman" w:hAnsi="Times New Roman"/>
          <w:b w:val="0"/>
          <w:i/>
          <w:color w:val="1E1E1E"/>
          <w:sz w:val="24"/>
        </w:rPr>
        <w:t>N = 10,547</w:t>
      </w:r>
      <w:r>
        <w:rPr>
          <w:rFonts w:ascii="Times New Roman" w:hAnsi="Times New Roman"/>
          <w:b w:val="0"/>
          <w:i w:val="0"/>
          <w:color w:val="1E1E1E"/>
          <w:sz w:val="24"/>
        </w:rPr>
        <w:t xml:space="preserve">, </w:t>
      </w:r>
      <w:r>
        <w:rPr>
          <w:rFonts w:ascii="Times New Roman" w:hAnsi="Times New Roman"/>
          <w:b w:val="0"/>
          <w:i/>
          <w:color w:val="1E1E1E"/>
          <w:sz w:val="24"/>
        </w:rPr>
        <w:t>r = 8</w:t>
      </w:r>
      <w:r>
        <w:rPr>
          <w:rFonts w:ascii="Times New Roman" w:hAnsi="Times New Roman"/>
          <w:b w:val="0"/>
          <w:i w:val="0"/>
          <w:color w:val="1E1E1E"/>
          <w:sz w:val="24"/>
        </w:rPr>
        <w:t xml:space="preserve"> (sources), and </w:t>
      </w:r>
      <w:r>
        <w:rPr>
          <w:rFonts w:ascii="Times New Roman" w:hAnsi="Times New Roman"/>
          <w:b w:val="0"/>
          <w:i/>
          <w:color w:val="1E1E1E"/>
          <w:sz w:val="24"/>
        </w:rPr>
        <w:t>c = 6</w:t>
      </w:r>
      <w:r>
        <w:rPr>
          <w:rFonts w:ascii="Times New Roman" w:hAnsi="Times New Roman"/>
          <w:b w:val="0"/>
          <w:i w:val="0"/>
          <w:color w:val="1E1E1E"/>
          <w:sz w:val="24"/>
        </w:rPr>
        <w:t xml:space="preserve"> (classes). The calculation yielded </w:t>
      </w:r>
      <w:r>
        <w:rPr>
          <w:rFonts w:ascii="Times New Roman" w:hAnsi="Times New Roman"/>
          <w:b/>
          <w:i w:val="0"/>
          <w:color w:val="0B1F3A"/>
          <w:sz w:val="24"/>
        </w:rPr>
        <w:t>Cramér's V = 0.7654</w:t>
      </w:r>
      <w:r>
        <w:rPr>
          <w:rFonts w:ascii="Times New Roman" w:hAnsi="Times New Roman"/>
          <w:b w:val="0"/>
          <w:i w:val="0"/>
          <w:color w:val="1E1E1E"/>
          <w:sz w:val="24"/>
        </w:rPr>
        <w:t>, confirming an exceptionally strong statistical dependency between acquisition site and disease class. In naive convolutional models, this strong correlation induces catastrophic shortcut learning, where networks classify scanner artifacts rather than pathology.</w:t>
      </w:r>
    </w:p>
    <w:p>
      <w:pPr>
        <w:pStyle w:val="Heading2"/>
        <w:keepNext/>
        <w:spacing w:before="140" w:after="60"/>
        <w:jc w:val="left"/>
      </w:pPr>
      <w:r>
        <w:rPr>
          <w:rFonts w:ascii="Times New Roman" w:hAnsi="Times New Roman"/>
          <w:b/>
          <w:color w:val="185FA5"/>
          <w:sz w:val="28"/>
        </w:rPr>
        <w:t>7.5 Planar CXR Verification &amp; CT Elimination</w:t>
      </w:r>
    </w:p>
    <w:p>
      <w:pPr>
        <w:spacing w:before="0" w:after="70" w:line="276" w:lineRule="auto"/>
        <w:jc w:val="both"/>
      </w:pPr>
      <w:r>
        <w:rPr>
          <w:rFonts w:ascii="Times New Roman" w:hAnsi="Times New Roman"/>
          <w:b w:val="0"/>
          <w:i w:val="0"/>
          <w:color w:val="1E1E1E"/>
          <w:sz w:val="24"/>
        </w:rPr>
        <w:t>To enforce strict planar radiograph validity, programmatic filters were constructed:</w:t>
      </w:r>
    </w:p>
    <w:p>
      <w:pPr>
        <w:pStyle w:val="ListNumber"/>
        <w:spacing w:before="0" w:after="40" w:line="276" w:lineRule="auto"/>
        <w:jc w:val="both"/>
      </w:pPr>
      <w:r>
        <w:rPr>
          <w:rFonts w:ascii="Times New Roman" w:hAnsi="Times New Roman"/>
          <w:b/>
          <w:i w:val="0"/>
          <w:color w:val="0B1F3A"/>
          <w:sz w:val="24"/>
        </w:rPr>
        <w:t>Aspect Ratio Screening</w:t>
      </w:r>
      <w:r>
        <w:rPr>
          <w:rFonts w:ascii="Times New Roman" w:hAnsi="Times New Roman"/>
          <w:b w:val="0"/>
          <w:i w:val="0"/>
          <w:color w:val="1E1E1E"/>
          <w:sz w:val="24"/>
        </w:rPr>
        <w:t xml:space="preserve">: Bounding image aspect ratio within </w:t>
      </w:r>
      <w:r>
        <w:rPr>
          <w:rFonts w:ascii="Times New Roman" w:hAnsi="Times New Roman"/>
          <w:b w:val="0"/>
          <w:i/>
          <w:color w:val="1E1E1E"/>
          <w:sz w:val="24"/>
        </w:rPr>
        <w:t>[0.70, 1.45]</w:t>
      </w:r>
      <w:r>
        <w:rPr>
          <w:rFonts w:ascii="Times New Roman" w:hAnsi="Times New Roman"/>
          <w:b w:val="0"/>
          <w:i w:val="0"/>
          <w:color w:val="1E1E1E"/>
          <w:sz w:val="24"/>
        </w:rPr>
        <w:t>, eliminating rectangular panoramic sweeps and square-cropped CT tiles.</w:t>
      </w:r>
    </w:p>
    <w:p>
      <w:pPr>
        <w:pStyle w:val="ListNumber"/>
        <w:spacing w:before="0" w:after="40" w:line="276" w:lineRule="auto"/>
        <w:jc w:val="both"/>
      </w:pPr>
      <w:r>
        <w:rPr>
          <w:rFonts w:ascii="Times New Roman" w:hAnsi="Times New Roman"/>
          <w:b/>
          <w:i w:val="0"/>
          <w:color w:val="0B1F3A"/>
          <w:sz w:val="24"/>
        </w:rPr>
        <w:t>Radial Intensity Profiling</w:t>
      </w:r>
      <w:r>
        <w:rPr>
          <w:rFonts w:ascii="Times New Roman" w:hAnsi="Times New Roman"/>
          <w:b w:val="0"/>
          <w:i w:val="0"/>
          <w:color w:val="1E1E1E"/>
          <w:sz w:val="24"/>
        </w:rPr>
        <w:t>: Axial CT slices exhibit distinct circular gantry boundaries and dark peripheral air pockets; radial gradient analysis automatically identified and purged 287 contaminated CT slices from legacy folders.</w:t>
      </w:r>
    </w:p>
    <w:p>
      <w:pPr>
        <w:pStyle w:val="ListNumber"/>
        <w:spacing w:before="0" w:after="40" w:line="276" w:lineRule="auto"/>
        <w:jc w:val="both"/>
      </w:pPr>
      <w:r>
        <w:rPr>
          <w:rFonts w:ascii="Times New Roman" w:hAnsi="Times New Roman"/>
          <w:b/>
          <w:i w:val="0"/>
          <w:color w:val="0B1F3A"/>
          <w:sz w:val="24"/>
        </w:rPr>
        <w:t>Contrast &amp; Dynamic Range Check</w:t>
      </w:r>
      <w:r>
        <w:rPr>
          <w:rFonts w:ascii="Times New Roman" w:hAnsi="Times New Roman"/>
          <w:b w:val="0"/>
          <w:i w:val="0"/>
          <w:color w:val="1E1E1E"/>
          <w:sz w:val="24"/>
        </w:rPr>
        <w:t xml:space="preserve">: Verified that pixel histograms occupy </w:t>
      </w:r>
      <w:r>
        <w:rPr>
          <w:rFonts w:ascii="Times New Roman" w:hAnsi="Times New Roman"/>
          <w:b w:val="0"/>
          <w:i/>
          <w:color w:val="1E1E1E"/>
          <w:sz w:val="24"/>
        </w:rPr>
        <w:t>\ge 60\%</w:t>
      </w:r>
      <w:r>
        <w:rPr>
          <w:rFonts w:ascii="Times New Roman" w:hAnsi="Times New Roman"/>
          <w:b w:val="0"/>
          <w:i w:val="0"/>
          <w:color w:val="1E1E1E"/>
          <w:sz w:val="24"/>
        </w:rPr>
        <w:t xml:space="preserve"> of available 8-bit dynamic range.</w:t>
      </w:r>
    </w:p>
    <w:p>
      <w:pPr>
        <w:pStyle w:val="Heading2"/>
        <w:keepNext/>
        <w:spacing w:before="140" w:after="60"/>
        <w:jc w:val="left"/>
      </w:pPr>
      <w:r>
        <w:rPr>
          <w:rFonts w:ascii="Times New Roman" w:hAnsi="Times New Roman"/>
          <w:b/>
          <w:color w:val="185FA5"/>
          <w:sz w:val="28"/>
        </w:rPr>
        <w:t>7.6 Patient-Level Leak-Free Data Partitioning</w:t>
      </w:r>
    </w:p>
    <w:p>
      <w:pPr>
        <w:spacing w:before="0" w:after="70" w:line="276" w:lineRule="auto"/>
        <w:jc w:val="both"/>
      </w:pPr>
      <w:r>
        <w:rPr>
          <w:rFonts w:ascii="Times New Roman" w:hAnsi="Times New Roman"/>
          <w:b w:val="0"/>
          <w:i w:val="0"/>
          <w:color w:val="1E1E1E"/>
          <w:sz w:val="24"/>
        </w:rPr>
        <w:t>To completely prevent data leakage, dataset splitting was performed strictly at the patient identifier level. All radiographs belonging to a given patient were assigned exclusively to a single partition: Train (70%), Validation (15%), or Internal Test (15%). Table 7.2 presents the exact patient and image counts across partitions.</w:t>
      </w:r>
    </w:p>
    <w:p>
      <w:pPr>
        <w:keepNext/>
        <w:spacing w:before="120" w:after="40"/>
        <w:jc w:val="center"/>
      </w:pPr>
      <w:r>
        <w:rPr>
          <w:rFonts w:ascii="Times New Roman" w:hAnsi="Times New Roman"/>
          <w:b/>
          <w:color w:val="0B1F3A"/>
          <w:sz w:val="22"/>
        </w:rPr>
        <w:t>Table 7.2:</w:t>
      </w:r>
      <w:r>
        <w:rPr>
          <w:rFonts w:ascii="Times New Roman" w:hAnsi="Times New Roman"/>
          <w:b w:val="0"/>
          <w:color w:val="1E1E1E"/>
          <w:sz w:val="22"/>
        </w:rPr>
        <w:t xml:space="preserve"> Patient-Level Splitting Distribution of the V5 Dataset</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2016"/>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Dataset Partition</w:t>
            </w:r>
          </w:p>
        </w:tc>
        <w:tc>
          <w:tcPr>
            <w:tcW w:type="dxa" w:w="172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Total Verified Images</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Unique Patient Count</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Patient Percentage</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Purpose &amp; Role</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Training Split</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7,398</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7,189</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70.0%</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Model parameter optimization &amp; backbone fine-tuning</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Validation Split</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1,579</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1,540</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15.0%</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Hyperparameter tuning, early stopping &amp; checkpoint selection</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Internal Test Split</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1,570</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1,541</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15.0%</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Unbiased internal evaluation of final model checkpoints</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i w:val="0"/>
                <w:color w:val="0B1F3A"/>
                <w:sz w:val="20"/>
              </w:rPr>
              <w:t>Total Cohort</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20"/>
              </w:rPr>
              <w:t>10,547</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20"/>
              </w:rPr>
              <w:t>10,270</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20"/>
              </w:rPr>
              <w:t>100.0%</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i w:val="0"/>
                <w:color w:val="0B1F3A"/>
                <w:sz w:val="20"/>
              </w:rPr>
              <w:t>Frozen V5 Research Benchmark</w:t>
            </w:r>
          </w:p>
        </w:tc>
      </w:tr>
    </w:tbl>
    <w:p>
      <w:pPr>
        <w:spacing w:before="0" w:after="80"/>
      </w:pPr>
    </w:p>
    <w:p>
      <w:r>
        <w:br w:type="page"/>
      </w:r>
    </w:p>
    <w:p>
      <w:pPr>
        <w:pStyle w:val="Heading1"/>
        <w:keepNext/>
        <w:spacing w:before="160" w:after="120"/>
        <w:jc w:val="left"/>
      </w:pPr>
      <w:r>
        <w:rPr>
          <w:rFonts w:ascii="Times New Roman" w:hAnsi="Times New Roman"/>
          <w:b/>
          <w:color w:val="0B1F3A"/>
          <w:sz w:val="32"/>
        </w:rPr>
        <w:t>CHAPTER 8 – MACHINE LEARNING / AI MODEL</w:t>
      </w:r>
    </w:p>
    <w:p>
      <w:pPr>
        <w:pStyle w:val="Heading2"/>
        <w:keepNext/>
        <w:spacing w:before="140" w:after="60"/>
        <w:jc w:val="left"/>
      </w:pPr>
      <w:r>
        <w:rPr>
          <w:rFonts w:ascii="Times New Roman" w:hAnsi="Times New Roman"/>
          <w:b/>
          <w:color w:val="185FA5"/>
          <w:sz w:val="28"/>
        </w:rPr>
        <w:t>8.1 Frequency-Aware DenseNet-121 Architecture</w:t>
      </w:r>
    </w:p>
    <w:p>
      <w:pPr>
        <w:spacing w:before="0" w:after="70" w:line="276" w:lineRule="auto"/>
        <w:jc w:val="both"/>
      </w:pPr>
      <w:r>
        <w:rPr>
          <w:rFonts w:ascii="Times New Roman" w:hAnsi="Times New Roman"/>
          <w:b w:val="0"/>
          <w:i w:val="0"/>
          <w:color w:val="1E1E1E"/>
          <w:sz w:val="24"/>
        </w:rPr>
        <w:t xml:space="preserve">The final selected configuration, referred to internally during experimentation as Model D, is a </w:t>
      </w:r>
      <w:r>
        <w:rPr>
          <w:rFonts w:ascii="Times New Roman" w:hAnsi="Times New Roman"/>
          <w:b/>
          <w:i w:val="0"/>
          <w:color w:val="0B1F3A"/>
          <w:sz w:val="24"/>
        </w:rPr>
        <w:t>Frequency-Aware DenseNet-121</w:t>
      </w:r>
      <w:r>
        <w:rPr>
          <w:rFonts w:ascii="Times New Roman" w:hAnsi="Times New Roman"/>
          <w:b w:val="0"/>
          <w:i w:val="0"/>
          <w:color w:val="1E1E1E"/>
          <w:sz w:val="24"/>
        </w:rPr>
        <w:t xml:space="preserve"> classifier. It uses an ImageNet-pretrained DenseNet-121 backbone with deterministic frequency-aware preprocessing based on Gaussian low-pass filtering (</w:t>
      </w:r>
      <w:r>
        <w:rPr>
          <w:rFonts w:ascii="Times New Roman" w:hAnsi="Times New Roman"/>
          <w:b w:val="0"/>
          <w:i/>
          <w:color w:val="1E1E1E"/>
          <w:sz w:val="24"/>
        </w:rPr>
        <w:t>\sigma = 1.0</w:t>
      </w:r>
      <w:r>
        <w:rPr>
          <w:rFonts w:ascii="Times New Roman" w:hAnsi="Times New Roman"/>
          <w:b w:val="0"/>
          <w:i w:val="0"/>
          <w:color w:val="1E1E1E"/>
          <w:sz w:val="24"/>
        </w:rPr>
        <w:t>), followed by Global Average Pooling (GAP), Batch Normalization, a 256-dimensional fully connected bottleneck, dropout regularization (</w:t>
      </w:r>
      <w:r>
        <w:rPr>
          <w:rFonts w:ascii="Times New Roman" w:hAnsi="Times New Roman"/>
          <w:b w:val="0"/>
          <w:i/>
          <w:color w:val="1E1E1E"/>
          <w:sz w:val="24"/>
        </w:rPr>
        <w:t>p = 0.30</w:t>
      </w:r>
      <w:r>
        <w:rPr>
          <w:rFonts w:ascii="Times New Roman" w:hAnsi="Times New Roman"/>
          <w:b w:val="0"/>
          <w:i w:val="0"/>
          <w:color w:val="1E1E1E"/>
          <w:sz w:val="24"/>
        </w:rPr>
        <w:t>), and a six-class Softmax classification head. This configuration was selected because it achieved the highest performance among the five evaluated paradigms on the frozen V5 internal test set (82.93% accuracy, 78.35% macro F1-score, and 0.9755 macro ROC-AUC).</w:t>
      </w:r>
    </w:p>
    <w:p>
      <w:pPr>
        <w:spacing w:before="0" w:after="70" w:line="276" w:lineRule="auto"/>
        <w:jc w:val="both"/>
      </w:pPr>
      <w:r>
        <w:rPr>
          <w:rFonts w:ascii="Times New Roman" w:hAnsi="Times New Roman"/>
          <w:b w:val="0"/>
          <w:i w:val="0"/>
          <w:color w:val="1E1E1E"/>
          <w:sz w:val="24"/>
        </w:rPr>
        <w:t>DenseNet-121 connects each layer to every subsequent layer in a feed-forward topology across four Dense Blocks interconnected by Transition Layers, mitigating vanishing gradients and maximizing feature reuse without inflating parameter counts. The architectural forward flow is structured as follows:</w:t>
      </w:r>
    </w:p>
    <w:p>
      <w:pPr>
        <w:spacing w:before="60" w:after="60"/>
        <w:jc w:val="center"/>
      </w:pPr>
      <w:r>
        <w:rPr>
          <w:rFonts w:ascii="Times New Roman" w:hAnsi="Times New Roman"/>
          <w:b w:val="0"/>
          <w:i/>
          <w:color w:val="0B1F3A"/>
          <w:sz w:val="23"/>
        </w:rPr>
        <w:t xml:space="preserve">ext{Input } (224 </w:t>
        <w:tab/>
        <w:t xml:space="preserve">imes 224 </w:t>
        <w:tab/>
        <w:t xml:space="preserve">imes 3) \longrightarrow </w:t>
        <w:tab/>
        <w:t xml:space="preserve">ext{DenseNet-121 Backbone} \longrightarrow </w:t>
        <w:tab/>
        <w:t xml:space="preserve">ext{GAP } (1024) \longrightarrow </w:t>
        <w:tab/>
        <w:t xml:space="preserve">ext{BN} \longrightarrow </w:t>
        <w:tab/>
        <w:t xml:space="preserve">ext{Dense}(256) + </w:t>
        <w:tab/>
        <w:t xml:space="preserve">ext{ReLU} \longrightarrow </w:t>
        <w:tab/>
        <w:t xml:space="preserve">ext{Dropout}(0.3) \longrightarrow </w:t>
        <w:tab/>
        <w:t xml:space="preserve">ext{Dense}(6) \longrightarrow </w:t>
        <w:tab/>
        <w:t>ext{Softmax}</w:t>
      </w:r>
    </w:p>
    <w:p>
      <w:pPr>
        <w:spacing w:before="0" w:after="70" w:line="276" w:lineRule="auto"/>
        <w:jc w:val="both"/>
      </w:pPr>
      <w:r>
        <w:rPr>
          <w:rFonts w:ascii="Times New Roman" w:hAnsi="Times New Roman"/>
          <w:b w:val="0"/>
          <w:i w:val="0"/>
          <w:color w:val="1E1E1E"/>
          <w:sz w:val="24"/>
        </w:rPr>
        <w:t>Figure 8.1 depicts the complete architectural layout of Frequency-Aware DenseNet-121.</w:t>
      </w:r>
    </w:p>
    <w:p>
      <w:pPr>
        <w:keepNext/>
        <w:spacing w:before="80" w:after="40"/>
        <w:jc w:val="center"/>
      </w:pPr>
      <w:r>
        <w:drawing>
          <wp:inline xmlns:a="http://schemas.openxmlformats.org/drawingml/2006/main" xmlns:pic="http://schemas.openxmlformats.org/drawingml/2006/picture">
            <wp:extent cx="4541520" cy="2560320"/>
            <wp:docPr id="13" name="Picture 13"/>
            <wp:cNvGraphicFramePr>
              <a:graphicFrameLocks noChangeAspect="1"/>
            </wp:cNvGraphicFramePr>
            <a:graphic>
              <a:graphicData uri="http://schemas.openxmlformats.org/drawingml/2006/picture">
                <pic:pic>
                  <pic:nvPicPr>
                    <pic:cNvPr id="0" name="model_d_architecture.png"/>
                    <pic:cNvPicPr/>
                  </pic:nvPicPr>
                  <pic:blipFill>
                    <a:blip r:embed="rId23"/>
                    <a:stretch>
                      <a:fillRect/>
                    </a:stretch>
                  </pic:blipFill>
                  <pic:spPr>
                    <a:xfrm>
                      <a:off x="0" y="0"/>
                      <a:ext cx="4541520" cy="2560320"/>
                    </a:xfrm>
                    <a:prstGeom prst="rect"/>
                  </pic:spPr>
                </pic:pic>
              </a:graphicData>
            </a:graphic>
          </wp:inline>
        </w:drawing>
      </w:r>
    </w:p>
    <w:p>
      <w:pPr>
        <w:spacing w:before="40" w:after="120"/>
        <w:jc w:val="center"/>
      </w:pPr>
      <w:r>
        <w:rPr>
          <w:rFonts w:ascii="Times New Roman" w:hAnsi="Times New Roman"/>
          <w:b/>
          <w:color w:val="0B1F3A"/>
          <w:sz w:val="22"/>
        </w:rPr>
        <w:t>Figure 8.1:</w:t>
      </w:r>
      <w:r>
        <w:rPr>
          <w:rFonts w:ascii="Times New Roman" w:hAnsi="Times New Roman"/>
          <w:i/>
          <w:color w:val="1E1E1E"/>
          <w:sz w:val="22"/>
        </w:rPr>
        <w:t xml:space="preserve"> Frequency-Aware DenseNet-121 Architecture and Six-Class Classification Head</w:t>
      </w:r>
    </w:p>
    <w:p>
      <w:pPr>
        <w:spacing w:before="0" w:after="70" w:line="276" w:lineRule="auto"/>
        <w:jc w:val="both"/>
      </w:pPr>
      <w:r>
        <w:rPr>
          <w:rFonts w:ascii="Times New Roman" w:hAnsi="Times New Roman"/>
          <w:b w:val="0"/>
          <w:i w:val="0"/>
          <w:color w:val="1E1E1E"/>
          <w:sz w:val="24"/>
        </w:rPr>
        <w:t>Table 8.1 specifies the structural parameters and activation shapes of each layer in the Frequency-Aware DenseNet-121 architecture.</w:t>
      </w:r>
    </w:p>
    <w:p>
      <w:pPr>
        <w:keepNext/>
        <w:spacing w:before="120" w:after="40"/>
        <w:jc w:val="center"/>
      </w:pPr>
      <w:r>
        <w:rPr>
          <w:rFonts w:ascii="Times New Roman" w:hAnsi="Times New Roman"/>
          <w:b/>
          <w:color w:val="0B1F3A"/>
          <w:sz w:val="22"/>
        </w:rPr>
        <w:t>Table 8.1:</w:t>
      </w:r>
      <w:r>
        <w:rPr>
          <w:rFonts w:ascii="Times New Roman" w:hAnsi="Times New Roman"/>
          <w:b w:val="0"/>
          <w:color w:val="1E1E1E"/>
          <w:sz w:val="22"/>
        </w:rPr>
        <w:t xml:space="preserve"> Architectural Specifications of DenseNet-121 Feature Extractor and Classification Head</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2016"/>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Layer / Sub-Module</w:t>
            </w:r>
          </w:p>
        </w:tc>
        <w:tc>
          <w:tcPr>
            <w:tcW w:type="dxa" w:w="172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Output Dimension</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Kernel / Filter Spec</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Activation / Regularization</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Trainable Parameters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Input Image</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224 × 224 × 3</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RGB Preprocessed Tensor</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ImageNet Normalization</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0 (Input)</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Initial Conv / MaxPool</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56 × 56 × 64</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7×7 Conv (stride 2), 3×3 MaxPool</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9,408</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Block 1 (6 layers)</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56 × 56 × 256</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141,312</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Transition Layer 1</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28 × 28 × 128</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1×1 Conv, 2×2 AvgPool (stride 2)</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33,024</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Block 2 (12 layers)</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28 × 28 × 512</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501,760</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Transition Layer 2</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14 × 14 × 256</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1×1 Conv, 2×2 AvgPool (stride 2)</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131,584</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Block 3 (24 layers)</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14 × 14 × 1024</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2,385,920</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Transition Layer 3</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7 × 7 × 512</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1×1 Conv, 2×2 AvgPool (stride 2)</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BatchNorm + ReLU</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525,312</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Block 4 (16 layers)</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7 × 7 × 1024</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1×1 Conv, 3×3 Conv (growth k=32)</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Dense concatenation</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3,227,648</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Global Average Pooling</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1024</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Spatial reduction (7×7 -&gt; 1×1)</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None</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0</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Batch Normalization</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1024</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Feature scale &amp; shift</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gamma, beta learnable</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2,048</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Dense Bottleneck</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256</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Linear projection (1024 -&gt; 256)</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ReLU Activation</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262,400</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Dropout Regularization</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256</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Inverted Dropout</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p = 0.30 drop probability</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0</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Classification Head</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6</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Linear projection (256 -&gt; 6)</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Softmax (6-Class Probs)</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1,542</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Total Architecture</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Backbone + Head</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7,221,958 parameters</w:t>
            </w:r>
          </w:p>
        </w:tc>
      </w:tr>
    </w:tbl>
    <w:p>
      <w:pPr>
        <w:spacing w:before="0" w:after="80"/>
      </w:pPr>
    </w:p>
    <w:p>
      <w:pPr>
        <w:pStyle w:val="Heading2"/>
        <w:keepNext/>
        <w:spacing w:before="140" w:after="60"/>
        <w:jc w:val="left"/>
      </w:pPr>
      <w:r>
        <w:rPr>
          <w:rFonts w:ascii="Times New Roman" w:hAnsi="Times New Roman"/>
          <w:b/>
          <w:color w:val="185FA5"/>
          <w:sz w:val="28"/>
        </w:rPr>
        <w:t>8.2 Deterministic Biophysical Preprocessing Pipeline</w:t>
      </w:r>
    </w:p>
    <w:p>
      <w:pPr>
        <w:spacing w:before="0" w:after="70" w:line="276" w:lineRule="auto"/>
        <w:jc w:val="both"/>
      </w:pPr>
      <w:r>
        <w:rPr>
          <w:rFonts w:ascii="Times New Roman" w:hAnsi="Times New Roman"/>
          <w:b w:val="0"/>
          <w:i w:val="0"/>
          <w:color w:val="1E1E1E"/>
          <w:sz w:val="24"/>
        </w:rPr>
        <w:t>To eliminate scanner-induced chromatic and luminance discrepancies, Frequency-Aware DenseNet-121 enforces a deterministic biophysical preprocessing pipeline prior to tensor generation:</w:t>
      </w:r>
    </w:p>
    <w:p>
      <w:pPr>
        <w:pStyle w:val="ListNumber"/>
        <w:spacing w:before="0" w:after="40" w:line="276" w:lineRule="auto"/>
        <w:jc w:val="both"/>
      </w:pPr>
      <w:r>
        <w:rPr>
          <w:rFonts w:ascii="Times New Roman" w:hAnsi="Times New Roman"/>
          <w:b/>
          <w:i w:val="0"/>
          <w:color w:val="0B1F3A"/>
          <w:sz w:val="24"/>
        </w:rPr>
        <w:t>Input Structural Validation</w:t>
      </w:r>
      <w:r>
        <w:rPr>
          <w:rFonts w:ascii="Times New Roman" w:hAnsi="Times New Roman"/>
          <w:b w:val="0"/>
          <w:i w:val="0"/>
          <w:color w:val="1E1E1E"/>
          <w:sz w:val="24"/>
        </w:rPr>
        <w:t>: Verifies that pixel dimensions meet minimum criteria and rejects non-image inputs.</w:t>
      </w:r>
    </w:p>
    <w:p>
      <w:pPr>
        <w:pStyle w:val="ListNumber"/>
        <w:spacing w:before="0" w:after="40" w:line="276" w:lineRule="auto"/>
        <w:jc w:val="both"/>
      </w:pPr>
      <w:r>
        <w:rPr>
          <w:rFonts w:ascii="Times New Roman" w:hAnsi="Times New Roman"/>
          <w:b/>
          <w:i w:val="0"/>
          <w:color w:val="0B1F3A"/>
          <w:sz w:val="24"/>
        </w:rPr>
        <w:t>Channel Format Standardization</w:t>
      </w:r>
      <w:r>
        <w:rPr>
          <w:rFonts w:ascii="Times New Roman" w:hAnsi="Times New Roman"/>
          <w:b w:val="0"/>
          <w:i w:val="0"/>
          <w:color w:val="1E1E1E"/>
          <w:sz w:val="24"/>
        </w:rPr>
        <w:t>: Converts arbitrary single-channel or four-channel inputs to standard 3-channel BGR.</w:t>
      </w:r>
    </w:p>
    <w:p>
      <w:pPr>
        <w:pStyle w:val="ListNumber"/>
        <w:spacing w:before="0" w:after="40" w:line="276" w:lineRule="auto"/>
        <w:jc w:val="both"/>
      </w:pPr>
      <w:r>
        <w:rPr>
          <w:rFonts w:ascii="Times New Roman" w:hAnsi="Times New Roman"/>
          <w:b/>
          <w:i w:val="0"/>
          <w:color w:val="0B1F3A"/>
          <w:sz w:val="24"/>
        </w:rPr>
        <w:t>BGR to RGB Conversion</w:t>
      </w:r>
      <w:r>
        <w:rPr>
          <w:rFonts w:ascii="Times New Roman" w:hAnsi="Times New Roman"/>
          <w:b w:val="0"/>
          <w:i w:val="0"/>
          <w:color w:val="1E1E1E"/>
          <w:sz w:val="24"/>
        </w:rPr>
        <w:t>: Aligns color space with canonical image representations.</w:t>
      </w:r>
    </w:p>
    <w:p>
      <w:pPr>
        <w:pStyle w:val="ListNumber"/>
        <w:spacing w:before="0" w:after="40" w:line="276" w:lineRule="auto"/>
        <w:jc w:val="both"/>
      </w:pPr>
      <w:r>
        <w:rPr>
          <w:rFonts w:ascii="Times New Roman" w:hAnsi="Times New Roman"/>
          <w:b/>
          <w:i w:val="0"/>
          <w:color w:val="0B1F3A"/>
          <w:sz w:val="24"/>
        </w:rPr>
        <w:t>Gaussian Smoothing</w:t>
      </w:r>
      <w:r>
        <w:rPr>
          <w:rFonts w:ascii="Times New Roman" w:hAnsi="Times New Roman"/>
          <w:b w:val="0"/>
          <w:i w:val="0"/>
          <w:color w:val="1E1E1E"/>
          <w:sz w:val="24"/>
        </w:rPr>
        <w:t>: Applies subtle smoothing (</w:t>
      </w:r>
      <w:r>
        <w:rPr>
          <w:rFonts w:ascii="Times New Roman" w:hAnsi="Times New Roman"/>
          <w:b w:val="0"/>
          <w:i/>
          <w:color w:val="1E1E1E"/>
          <w:sz w:val="24"/>
        </w:rPr>
        <w:t xml:space="preserve">3 </w:t>
        <w:tab/>
        <w:t>imes 3, \sigma = 0.8</w:t>
      </w:r>
      <w:r>
        <w:rPr>
          <w:rFonts w:ascii="Times New Roman" w:hAnsi="Times New Roman"/>
          <w:b w:val="0"/>
          <w:i w:val="0"/>
          <w:color w:val="1E1E1E"/>
          <w:sz w:val="24"/>
        </w:rPr>
        <w:t>) to suppress initial sensor noise.</w:t>
      </w:r>
    </w:p>
    <w:p>
      <w:pPr>
        <w:pStyle w:val="ListNumber"/>
        <w:spacing w:before="0" w:after="40" w:line="276" w:lineRule="auto"/>
        <w:jc w:val="both"/>
      </w:pPr>
      <w:r>
        <w:rPr>
          <w:rFonts w:ascii="Times New Roman" w:hAnsi="Times New Roman"/>
          <w:b/>
          <w:i w:val="0"/>
          <w:color w:val="0B1F3A"/>
          <w:sz w:val="24"/>
        </w:rPr>
        <w:t>Color Space Decoupling</w:t>
      </w:r>
      <w:r>
        <w:rPr>
          <w:rFonts w:ascii="Times New Roman" w:hAnsi="Times New Roman"/>
          <w:b w:val="0"/>
          <w:i w:val="0"/>
          <w:color w:val="1E1E1E"/>
          <w:sz w:val="24"/>
        </w:rPr>
        <w:t>: Converts the input to CIE LAB space, decoupling luminance (</w:t>
      </w:r>
      <w:r>
        <w:rPr>
          <w:rFonts w:ascii="Times New Roman" w:hAnsi="Times New Roman"/>
          <w:b w:val="0"/>
          <w:i/>
          <w:color w:val="1E1E1E"/>
          <w:sz w:val="24"/>
        </w:rPr>
        <w:t>L^*</w:t>
      </w:r>
      <w:r>
        <w:rPr>
          <w:rFonts w:ascii="Times New Roman" w:hAnsi="Times New Roman"/>
          <w:b w:val="0"/>
          <w:i w:val="0"/>
          <w:color w:val="1E1E1E"/>
          <w:sz w:val="24"/>
        </w:rPr>
        <w:t>) from chromaticity (</w:t>
      </w:r>
      <w:r>
        <w:rPr>
          <w:rFonts w:ascii="Times New Roman" w:hAnsi="Times New Roman"/>
          <w:b w:val="0"/>
          <w:i/>
          <w:color w:val="1E1E1E"/>
          <w:sz w:val="24"/>
        </w:rPr>
        <w:t>a^*, b^*</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Luminance CLAHE Enhancement</w:t>
      </w:r>
      <w:r>
        <w:rPr>
          <w:rFonts w:ascii="Times New Roman" w:hAnsi="Times New Roman"/>
          <w:b w:val="0"/>
          <w:i w:val="0"/>
          <w:color w:val="1E1E1E"/>
          <w:sz w:val="24"/>
        </w:rPr>
        <w:t xml:space="preserve">: Applies Contrast-Limited Adaptive Histogram Equalization to the </w:t>
      </w:r>
      <w:r>
        <w:rPr>
          <w:rFonts w:ascii="Times New Roman" w:hAnsi="Times New Roman"/>
          <w:b w:val="0"/>
          <w:i/>
          <w:color w:val="1E1E1E"/>
          <w:sz w:val="24"/>
        </w:rPr>
        <w:t>L^*</w:t>
      </w:r>
      <w:r>
        <w:rPr>
          <w:rFonts w:ascii="Times New Roman" w:hAnsi="Times New Roman"/>
          <w:b w:val="0"/>
          <w:i w:val="0"/>
          <w:color w:val="1E1E1E"/>
          <w:sz w:val="24"/>
        </w:rPr>
        <w:t xml:space="preserve"> channel (clip limit 2.0, tile grid </w:t>
      </w:r>
      <w:r>
        <w:rPr>
          <w:rFonts w:ascii="Times New Roman" w:hAnsi="Times New Roman"/>
          <w:b w:val="0"/>
          <w:i/>
          <w:color w:val="1E1E1E"/>
          <w:sz w:val="24"/>
        </w:rPr>
        <w:t xml:space="preserve">8 </w:t>
        <w:tab/>
        <w:t>imes 8</w:t>
      </w:r>
      <w:r>
        <w:rPr>
          <w:rFonts w:ascii="Times New Roman" w:hAnsi="Times New Roman"/>
          <w:b w:val="0"/>
          <w:i w:val="0"/>
          <w:color w:val="1E1E1E"/>
          <w:sz w:val="24"/>
        </w:rPr>
        <w:t>), enhancing parenchymal contrast without amplifying noise.</w:t>
      </w:r>
    </w:p>
    <w:p>
      <w:pPr>
        <w:pStyle w:val="ListNumber"/>
        <w:spacing w:before="0" w:after="40" w:line="276" w:lineRule="auto"/>
        <w:jc w:val="both"/>
      </w:pPr>
      <w:r>
        <w:rPr>
          <w:rFonts w:ascii="Times New Roman" w:hAnsi="Times New Roman"/>
          <w:b/>
          <w:i w:val="0"/>
          <w:color w:val="0B1F3A"/>
          <w:sz w:val="24"/>
        </w:rPr>
        <w:t>Gaussian Low-Pass Spatial Filtering ($\sigma = 1.0$)</w:t>
      </w:r>
      <w:r>
        <w:rPr>
          <w:rFonts w:ascii="Times New Roman" w:hAnsi="Times New Roman"/>
          <w:b w:val="0"/>
          <w:i w:val="0"/>
          <w:color w:val="1E1E1E"/>
          <w:sz w:val="24"/>
        </w:rPr>
        <w:t>: Convolves the CLAHE-enhanced image with a 2D Gaussian kernel (</w:t>
      </w:r>
      <w:r>
        <w:rPr>
          <w:rFonts w:ascii="Times New Roman" w:hAnsi="Times New Roman"/>
          <w:b w:val="0"/>
          <w:i/>
          <w:color w:val="1E1E1E"/>
          <w:sz w:val="24"/>
        </w:rPr>
        <w:t>\sigma = 1.0</w:t>
      </w:r>
      <w:r>
        <w:rPr>
          <w:rFonts w:ascii="Times New Roman" w:hAnsi="Times New Roman"/>
          <w:b w:val="0"/>
          <w:i w:val="0"/>
          <w:color w:val="1E1E1E"/>
          <w:sz w:val="24"/>
        </w:rPr>
        <w:t>), attenuating device-specific high-frequency shortcuts and scanner grain.</w:t>
      </w:r>
    </w:p>
    <w:p>
      <w:pPr>
        <w:pStyle w:val="ListNumber"/>
        <w:spacing w:before="0" w:after="40" w:line="276" w:lineRule="auto"/>
        <w:jc w:val="both"/>
      </w:pPr>
      <w:r>
        <w:rPr>
          <w:rFonts w:ascii="Times New Roman" w:hAnsi="Times New Roman"/>
          <w:b/>
          <w:i w:val="0"/>
          <w:color w:val="0B1F3A"/>
          <w:sz w:val="24"/>
        </w:rPr>
        <w:t>Lanczos-4 Spatial Resampling</w:t>
      </w:r>
      <w:r>
        <w:rPr>
          <w:rFonts w:ascii="Times New Roman" w:hAnsi="Times New Roman"/>
          <w:b w:val="0"/>
          <w:i w:val="0"/>
          <w:color w:val="1E1E1E"/>
          <w:sz w:val="24"/>
        </w:rPr>
        <w:t xml:space="preserve">: Resamples the spatial dimensions to </w:t>
      </w:r>
      <w:r>
        <w:rPr>
          <w:rFonts w:ascii="Times New Roman" w:hAnsi="Times New Roman"/>
          <w:b w:val="0"/>
          <w:i/>
          <w:color w:val="1E1E1E"/>
          <w:sz w:val="24"/>
        </w:rPr>
        <w:t xml:space="preserve">224 </w:t>
        <w:tab/>
        <w:t>imes 224</w:t>
      </w:r>
      <w:r>
        <w:rPr>
          <w:rFonts w:ascii="Times New Roman" w:hAnsi="Times New Roman"/>
          <w:b w:val="0"/>
          <w:i w:val="0"/>
          <w:color w:val="1E1E1E"/>
          <w:sz w:val="24"/>
        </w:rPr>
        <w:t xml:space="preserve"> pixels using 8-lobed sinc interpolation.</w:t>
      </w:r>
    </w:p>
    <w:p>
      <w:pPr>
        <w:pStyle w:val="ListNumber"/>
        <w:spacing w:before="0" w:after="40" w:line="276" w:lineRule="auto"/>
        <w:jc w:val="both"/>
      </w:pPr>
      <w:r>
        <w:rPr>
          <w:rFonts w:ascii="Times New Roman" w:hAnsi="Times New Roman"/>
          <w:b/>
          <w:i w:val="0"/>
          <w:color w:val="0B1F3A"/>
          <w:sz w:val="24"/>
        </w:rPr>
        <w:t>ImageNet Standardization</w:t>
      </w:r>
      <w:r>
        <w:rPr>
          <w:rFonts w:ascii="Times New Roman" w:hAnsi="Times New Roman"/>
          <w:b w:val="0"/>
          <w:i w:val="0"/>
          <w:color w:val="1E1E1E"/>
          <w:sz w:val="24"/>
        </w:rPr>
        <w:t>: Normalizes channel distributions using ImageNet statistics (</w:t>
      </w:r>
      <w:r>
        <w:rPr>
          <w:rFonts w:ascii="Times New Roman" w:hAnsi="Times New Roman"/>
          <w:b w:val="0"/>
          <w:i/>
          <w:color w:val="1E1E1E"/>
          <w:sz w:val="24"/>
        </w:rPr>
        <w:t>\mu = [0.485, 0.456, 0.406]</w:t>
      </w:r>
      <w:r>
        <w:rPr>
          <w:rFonts w:ascii="Times New Roman" w:hAnsi="Times New Roman"/>
          <w:b w:val="0"/>
          <w:i w:val="0"/>
          <w:color w:val="1E1E1E"/>
          <w:sz w:val="24"/>
        </w:rPr>
        <w:t xml:space="preserve">, </w:t>
      </w:r>
      <w:r>
        <w:rPr>
          <w:rFonts w:ascii="Times New Roman" w:hAnsi="Times New Roman"/>
          <w:b w:val="0"/>
          <w:i/>
          <w:color w:val="1E1E1E"/>
          <w:sz w:val="24"/>
        </w:rPr>
        <w:t>\sigma = [0.229, 0.224, 0.225]</w:t>
      </w:r>
      <w:r>
        <w:rPr>
          <w:rFonts w:ascii="Times New Roman" w:hAnsi="Times New Roman"/>
          <w:b w:val="0"/>
          <w:i w:val="0"/>
          <w:color w:val="1E1E1E"/>
          <w:sz w:val="24"/>
        </w:rPr>
        <w:t>) before DenseNet-121 inference.</w:t>
      </w:r>
    </w:p>
    <w:p>
      <w:pPr>
        <w:spacing w:before="0" w:after="70" w:line="276" w:lineRule="auto"/>
        <w:jc w:val="both"/>
      </w:pPr>
      <w:r>
        <w:rPr>
          <w:rFonts w:ascii="Times New Roman" w:hAnsi="Times New Roman"/>
          <w:b w:val="0"/>
          <w:i w:val="0"/>
          <w:color w:val="1E1E1E"/>
          <w:sz w:val="24"/>
        </w:rPr>
        <w:t>Figure 8.2 illustrates each stage of this deterministic pipeline.</w:t>
      </w:r>
    </w:p>
    <w:p>
      <w:pPr>
        <w:keepNext/>
        <w:spacing w:before="80" w:after="40"/>
        <w:jc w:val="center"/>
      </w:pPr>
      <w:r>
        <w:drawing>
          <wp:inline xmlns:a="http://schemas.openxmlformats.org/drawingml/2006/main" xmlns:pic="http://schemas.openxmlformats.org/drawingml/2006/picture">
            <wp:extent cx="4828957" cy="2560320"/>
            <wp:docPr id="14" name="Picture 14"/>
            <wp:cNvGraphicFramePr>
              <a:graphicFrameLocks noChangeAspect="1"/>
            </wp:cNvGraphicFramePr>
            <a:graphic>
              <a:graphicData uri="http://schemas.openxmlformats.org/drawingml/2006/picture">
                <pic:pic>
                  <pic:nvPicPr>
                    <pic:cNvPr id="0" name="preprocessing_pipeline.png"/>
                    <pic:cNvPicPr/>
                  </pic:nvPicPr>
                  <pic:blipFill>
                    <a:blip r:embed="rId24"/>
                    <a:stretch>
                      <a:fillRect/>
                    </a:stretch>
                  </pic:blipFill>
                  <pic:spPr>
                    <a:xfrm>
                      <a:off x="0" y="0"/>
                      <a:ext cx="4828957" cy="2560320"/>
                    </a:xfrm>
                    <a:prstGeom prst="rect"/>
                  </pic:spPr>
                </pic:pic>
              </a:graphicData>
            </a:graphic>
          </wp:inline>
        </w:drawing>
      </w:r>
    </w:p>
    <w:p>
      <w:pPr>
        <w:spacing w:before="40" w:after="120"/>
        <w:jc w:val="center"/>
      </w:pPr>
      <w:r>
        <w:rPr>
          <w:rFonts w:ascii="Times New Roman" w:hAnsi="Times New Roman"/>
          <w:b/>
          <w:color w:val="0B1F3A"/>
          <w:sz w:val="22"/>
        </w:rPr>
        <w:t>Figure 8.2:</w:t>
      </w:r>
      <w:r>
        <w:rPr>
          <w:rFonts w:ascii="Times New Roman" w:hAnsi="Times New Roman"/>
          <w:i/>
          <w:color w:val="1E1E1E"/>
          <w:sz w:val="22"/>
        </w:rPr>
        <w:t xml:space="preserve"> Deterministic Biophysical Preprocessing Pipeline</w:t>
      </w:r>
    </w:p>
    <w:p>
      <w:pPr>
        <w:pStyle w:val="Heading2"/>
        <w:keepNext/>
        <w:spacing w:before="140" w:after="60"/>
        <w:jc w:val="left"/>
      </w:pPr>
      <w:r>
        <w:rPr>
          <w:rFonts w:ascii="Times New Roman" w:hAnsi="Times New Roman"/>
          <w:b/>
          <w:color w:val="185FA5"/>
          <w:sz w:val="28"/>
        </w:rPr>
        <w:t>8.3 Controlled Multi-Paradigm Domain Generalization Study</w:t>
      </w:r>
    </w:p>
    <w:p>
      <w:pPr>
        <w:spacing w:before="0" w:after="70" w:line="276" w:lineRule="auto"/>
        <w:jc w:val="both"/>
      </w:pPr>
      <w:r>
        <w:rPr>
          <w:rFonts w:ascii="Times New Roman" w:hAnsi="Times New Roman"/>
          <w:b w:val="0"/>
          <w:i w:val="0"/>
          <w:color w:val="1E1E1E"/>
          <w:sz w:val="24"/>
        </w:rPr>
        <w:t>The project did not develop five unrelated neural architectures; rather, the study evaluated five controlled training and preprocessing paradigms using a common DenseNet-121 backbone:</w:t>
      </w:r>
    </w:p>
    <w:p>
      <w:pPr>
        <w:pStyle w:val="ListNumber"/>
        <w:spacing w:before="0" w:after="40" w:line="276" w:lineRule="auto"/>
        <w:jc w:val="both"/>
      </w:pPr>
      <w:r>
        <w:rPr>
          <w:rFonts w:ascii="Times New Roman" w:hAnsi="Times New Roman"/>
          <w:b/>
          <w:i w:val="0"/>
          <w:color w:val="0B1F3A"/>
          <w:sz w:val="24"/>
        </w:rPr>
        <w:t>ERM DenseNet-121 Baseline</w:t>
      </w:r>
      <w:r>
        <w:rPr>
          <w:rFonts w:ascii="Times New Roman" w:hAnsi="Times New Roman"/>
          <w:b w:val="0"/>
          <w:i w:val="0"/>
          <w:color w:val="1E1E1E"/>
          <w:sz w:val="24"/>
        </w:rPr>
        <w:t>: Standard empirical risk minimization optimizing cross-entropy loss without domain adaptation.</w:t>
      </w:r>
    </w:p>
    <w:p>
      <w:pPr>
        <w:pStyle w:val="ListNumber"/>
        <w:spacing w:before="0" w:after="40" w:line="276" w:lineRule="auto"/>
        <w:jc w:val="both"/>
      </w:pPr>
      <w:r>
        <w:rPr>
          <w:rFonts w:ascii="Times New Roman" w:hAnsi="Times New Roman"/>
          <w:b/>
          <w:i w:val="0"/>
          <w:color w:val="0B1F3A"/>
          <w:sz w:val="24"/>
        </w:rPr>
        <w:t>CORAL-Enhanced DenseNet-121</w:t>
      </w:r>
      <w:r>
        <w:rPr>
          <w:rFonts w:ascii="Times New Roman" w:hAnsi="Times New Roman"/>
          <w:b w:val="0"/>
          <w:i w:val="0"/>
          <w:color w:val="1E1E1E"/>
          <w:sz w:val="24"/>
        </w:rPr>
        <w:t>: Deep CORAL latent feature covariance alignment across acquisition sources [6].</w:t>
      </w:r>
    </w:p>
    <w:p>
      <w:pPr>
        <w:pStyle w:val="ListNumber"/>
        <w:spacing w:before="0" w:after="40" w:line="276" w:lineRule="auto"/>
        <w:jc w:val="both"/>
      </w:pPr>
      <w:r>
        <w:rPr>
          <w:rFonts w:ascii="Times New Roman" w:hAnsi="Times New Roman"/>
          <w:b/>
          <w:i w:val="0"/>
          <w:color w:val="0B1F3A"/>
          <w:sz w:val="24"/>
        </w:rPr>
        <w:t>DANN DenseNet-121</w:t>
      </w:r>
      <w:r>
        <w:rPr>
          <w:rFonts w:ascii="Times New Roman" w:hAnsi="Times New Roman"/>
          <w:b w:val="0"/>
          <w:i w:val="0"/>
          <w:color w:val="1E1E1E"/>
          <w:sz w:val="24"/>
        </w:rPr>
        <w:t>: Domain-adversarial training using a gradient reversal layer (GRL) aligning latent representations [7].</w:t>
      </w:r>
    </w:p>
    <w:p>
      <w:pPr>
        <w:pStyle w:val="ListNumber"/>
        <w:spacing w:before="0" w:after="40" w:line="276" w:lineRule="auto"/>
        <w:jc w:val="both"/>
      </w:pPr>
      <w:r>
        <w:rPr>
          <w:rFonts w:ascii="Times New Roman" w:hAnsi="Times New Roman"/>
          <w:b/>
          <w:i w:val="0"/>
          <w:color w:val="0B1F3A"/>
          <w:sz w:val="24"/>
        </w:rPr>
        <w:t>Frequency-Aware DenseNet-121</w:t>
      </w:r>
      <w:r>
        <w:rPr>
          <w:rFonts w:ascii="Times New Roman" w:hAnsi="Times New Roman"/>
          <w:b w:val="0"/>
          <w:i w:val="0"/>
          <w:color w:val="1E1E1E"/>
          <w:sz w:val="24"/>
        </w:rPr>
        <w:t>: Deterministic Gaussian low-pass spatial filtering (</w:t>
      </w:r>
      <w:r>
        <w:rPr>
          <w:rFonts w:ascii="Times New Roman" w:hAnsi="Times New Roman"/>
          <w:b w:val="0"/>
          <w:i/>
          <w:color w:val="1E1E1E"/>
          <w:sz w:val="24"/>
        </w:rPr>
        <w:t>\sigma = 1.0</w:t>
      </w:r>
      <w:r>
        <w:rPr>
          <w:rFonts w:ascii="Times New Roman" w:hAnsi="Times New Roman"/>
          <w:b w:val="0"/>
          <w:i w:val="0"/>
          <w:color w:val="1E1E1E"/>
          <w:sz w:val="24"/>
        </w:rPr>
        <w:t>) combined with standard supervised cross-entropy; this represents the final selected configuration (internally designated Model D).</w:t>
      </w:r>
    </w:p>
    <w:p>
      <w:pPr>
        <w:pStyle w:val="ListNumber"/>
        <w:spacing w:before="0" w:after="40" w:line="276" w:lineRule="auto"/>
        <w:jc w:val="both"/>
      </w:pPr>
      <w:r>
        <w:rPr>
          <w:rFonts w:ascii="Times New Roman" w:hAnsi="Times New Roman"/>
          <w:b/>
          <w:i w:val="0"/>
          <w:color w:val="0B1F3A"/>
          <w:sz w:val="24"/>
        </w:rPr>
        <w:t>Hybrid Frequency + CORAL DenseNet-121</w:t>
      </w:r>
      <w:r>
        <w:rPr>
          <w:rFonts w:ascii="Times New Roman" w:hAnsi="Times New Roman"/>
          <w:b w:val="0"/>
          <w:i w:val="0"/>
          <w:color w:val="1E1E1E"/>
          <w:sz w:val="24"/>
        </w:rPr>
        <w:t>: Frequency-aware preprocessing combined with Deep CORAL latent covariance alignment.</w:t>
      </w:r>
    </w:p>
    <w:p>
      <w:pPr>
        <w:spacing w:before="0" w:after="70" w:line="276" w:lineRule="auto"/>
        <w:jc w:val="both"/>
      </w:pPr>
      <w:r>
        <w:rPr>
          <w:rFonts w:ascii="Times New Roman" w:hAnsi="Times New Roman"/>
          <w:b w:val="0"/>
          <w:i w:val="0"/>
          <w:color w:val="1E1E1E"/>
          <w:sz w:val="24"/>
        </w:rPr>
        <w:t>Table 8.2 summarizes the audited experimental hyperparameters applied across all five paradigms.</w:t>
      </w:r>
    </w:p>
    <w:p>
      <w:pPr>
        <w:keepNext/>
        <w:spacing w:before="120" w:after="40"/>
        <w:jc w:val="center"/>
      </w:pPr>
      <w:r>
        <w:rPr>
          <w:rFonts w:ascii="Times New Roman" w:hAnsi="Times New Roman"/>
          <w:b/>
          <w:color w:val="0B1F3A"/>
          <w:sz w:val="22"/>
        </w:rPr>
        <w:t>Table 8.2:</w:t>
      </w:r>
      <w:r>
        <w:rPr>
          <w:rFonts w:ascii="Times New Roman" w:hAnsi="Times New Roman"/>
          <w:b w:val="0"/>
          <w:color w:val="1E1E1E"/>
          <w:sz w:val="22"/>
        </w:rPr>
        <w:t xml:space="preserve"> Experimental Hyperparameters Across Domain Generalization Paradigms</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Hyperparameter</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ERM Baseline</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Deep CORAL</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DANN</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Frequency-Aware (Model D)</w:t>
            </w:r>
          </w:p>
        </w:tc>
        <w:tc>
          <w:tcPr>
            <w:tcW w:type="dxa" w:w="172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Hybrid Model</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Backbone Architecture</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DenseNet-121</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DenseNet-121</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Pre-training Weights</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ImageNet-1k</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ImageNet-1k</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Input Spatial Resolution</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224 × 224 × 3</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224 × 224 × 3</w:t>
            </w:r>
          </w:p>
        </w:tc>
      </w:tr>
      <w:tr>
        <w:trPr>
          <w:cantSplit/>
        </w:trPr>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Batch Size</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32</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32 (16 src / 16 tgt)</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32 (16 src / 16 tgt)</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32</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32 (16 src / 16 tgt)</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Optimization Algorithm</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Adam (beta1=0.9, beta2=0.999)</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Adam</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Adam</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Adam</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Adam</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Training Schedule</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4 Epochs (2 Head + 2 FT)</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4 Epochs (2 Head + 2 FT)</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4 Epochs (2 Head + 2 FT)</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4 Epochs (2 Head + 2 FT)</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4 Epochs (2 Head + 2 FT)</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Learning Rate Schedule</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P1: 1e-3, P2: 1e-5</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P1: 1e-3, P2: 1e-5</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P1: 1e-3, P2: 1e-5</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P1: 1e-3, P2: 1e-5</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P1: 1e-3, P2: 1e-5</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Domain Loss Weight</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N/A</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lambda = 0.01 (Grid: 0.01, 0.1, 1.0)</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lambda = 0.10 (Grid: 0.01, 0.1, 1.0)</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N/A</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lambda = 0.01 (CORAL)</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Spatial Low-Pass Filter</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None</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None</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None</w:t>
            </w:r>
          </w:p>
        </w:tc>
        <w:tc>
          <w:tcPr>
            <w:tcW w:type="dxa" w:w="144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Gaussian (sigma = 1.0)</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Gaussian (sigma = 1.0)</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Fine-Tuning Scope</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Top 30 DenseNet Layers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Top 30 DenseNet Layers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Top 30 DenseNet Layers</w:t>
            </w:r>
          </w:p>
        </w:tc>
        <w:tc>
          <w:tcPr>
            <w:tcW w:type="dxa" w:w="144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Top 30 DenseNet Layers</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Top 30 DenseNet Layers</w:t>
            </w:r>
          </w:p>
        </w:tc>
      </w:tr>
    </w:tbl>
    <w:p>
      <w:pPr>
        <w:spacing w:before="0" w:after="80"/>
      </w:pPr>
    </w:p>
    <w:p>
      <w:r>
        <w:br w:type="page"/>
      </w:r>
    </w:p>
    <w:p>
      <w:pPr>
        <w:pStyle w:val="Heading1"/>
        <w:keepNext/>
        <w:spacing w:before="160" w:after="120"/>
        <w:jc w:val="left"/>
      </w:pPr>
      <w:r>
        <w:rPr>
          <w:rFonts w:ascii="Times New Roman" w:hAnsi="Times New Roman"/>
          <w:b/>
          <w:color w:val="0B1F3A"/>
          <w:sz w:val="32"/>
        </w:rPr>
        <w:t>CHAPTER 9 – SYSTEM IMPLEMENTATION</w:t>
      </w:r>
    </w:p>
    <w:p>
      <w:pPr>
        <w:pStyle w:val="Heading2"/>
        <w:keepNext/>
        <w:spacing w:before="140" w:after="60"/>
        <w:jc w:val="left"/>
      </w:pPr>
      <w:r>
        <w:rPr>
          <w:rFonts w:ascii="Times New Roman" w:hAnsi="Times New Roman"/>
          <w:b/>
          <w:color w:val="185FA5"/>
          <w:sz w:val="28"/>
        </w:rPr>
        <w:t>9.1 Backend Architecture (FastAPI &amp; Uvicorn Runtime)</w:t>
      </w:r>
    </w:p>
    <w:p>
      <w:pPr>
        <w:spacing w:before="0" w:after="70" w:line="276" w:lineRule="auto"/>
        <w:jc w:val="both"/>
      </w:pPr>
      <w:r>
        <w:rPr>
          <w:rFonts w:ascii="Times New Roman" w:hAnsi="Times New Roman"/>
          <w:b w:val="0"/>
          <w:i w:val="0"/>
          <w:color w:val="1E1E1E"/>
          <w:sz w:val="24"/>
        </w:rPr>
        <w:t xml:space="preserve">The LungAI backend is implemented as an asynchronous, high-concurrency microservice utilizing </w:t>
      </w:r>
      <w:r>
        <w:rPr>
          <w:rFonts w:ascii="Times New Roman" w:hAnsi="Times New Roman"/>
          <w:b/>
          <w:i w:val="0"/>
          <w:color w:val="0B1F3A"/>
          <w:sz w:val="24"/>
        </w:rPr>
        <w:t>FastAPI</w:t>
      </w:r>
      <w:r>
        <w:rPr>
          <w:rFonts w:ascii="Times New Roman" w:hAnsi="Times New Roman"/>
          <w:b w:val="0"/>
          <w:i w:val="0"/>
          <w:color w:val="1E1E1E"/>
          <w:sz w:val="24"/>
        </w:rPr>
        <w:t xml:space="preserve"> hosted on the </w:t>
      </w:r>
      <w:r>
        <w:rPr>
          <w:rFonts w:ascii="Times New Roman" w:hAnsi="Times New Roman"/>
          <w:b/>
          <w:i w:val="0"/>
          <w:color w:val="0B1F3A"/>
          <w:sz w:val="24"/>
        </w:rPr>
        <w:t>Uvicorn</w:t>
      </w:r>
      <w:r>
        <w:rPr>
          <w:rFonts w:ascii="Times New Roman" w:hAnsi="Times New Roman"/>
          <w:b w:val="0"/>
          <w:i w:val="0"/>
          <w:color w:val="1E1E1E"/>
          <w:sz w:val="24"/>
        </w:rPr>
        <w:t xml:space="preserve"> ASGI server. FastAPI's native support for Python </w:t>
      </w:r>
      <w:r>
        <w:rPr>
          <w:rFonts w:ascii="Times New Roman" w:hAnsi="Times New Roman"/>
          <w:b w:val="0"/>
          <w:i w:val="0"/>
          <w:color w:val="1E1E1E"/>
          <w:sz w:val="23"/>
        </w:rPr>
        <w:t>asyncio</w:t>
      </w:r>
      <w:r>
        <w:rPr>
          <w:rFonts w:ascii="Times New Roman" w:hAnsi="Times New Roman"/>
          <w:b w:val="0"/>
          <w:i w:val="0"/>
          <w:color w:val="1E1E1E"/>
          <w:sz w:val="24"/>
        </w:rPr>
        <w:t xml:space="preserve"> event loops enables non-blocking request handling, allowing concurrent ingestion of radiograph payloads while offloading computationally intensive tensor calculations to dedicated worker threads via </w:t>
      </w:r>
      <w:r>
        <w:rPr>
          <w:rFonts w:ascii="Times New Roman" w:hAnsi="Times New Roman"/>
          <w:b w:val="0"/>
          <w:i w:val="0"/>
          <w:color w:val="1E1E1E"/>
          <w:sz w:val="23"/>
        </w:rPr>
        <w:t>asyncio.to_thread</w:t>
      </w:r>
      <w:r>
        <w:rPr>
          <w:rFonts w:ascii="Times New Roman" w:hAnsi="Times New Roman"/>
          <w:b w:val="0"/>
          <w:i w:val="0"/>
          <w:color w:val="1E1E1E"/>
          <w:sz w:val="24"/>
        </w:rPr>
        <w:t>.</w:t>
      </w:r>
    </w:p>
    <w:p>
      <w:pPr>
        <w:spacing w:before="0" w:after="70" w:line="276" w:lineRule="auto"/>
        <w:jc w:val="both"/>
      </w:pPr>
      <w:r>
        <w:rPr>
          <w:rFonts w:ascii="Times New Roman" w:hAnsi="Times New Roman"/>
          <w:b w:val="0"/>
          <w:i w:val="0"/>
          <w:color w:val="1E1E1E"/>
          <w:sz w:val="24"/>
        </w:rPr>
        <w:t xml:space="preserve">The API architecture exposes RESTful endpoints structured under </w:t>
      </w:r>
      <w:r>
        <w:rPr>
          <w:rFonts w:ascii="Times New Roman" w:hAnsi="Times New Roman"/>
          <w:b w:val="0"/>
          <w:i w:val="0"/>
          <w:color w:val="1E1E1E"/>
          <w:sz w:val="23"/>
        </w:rPr>
        <w:t>/api/v1</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val="0"/>
          <w:i w:val="0"/>
          <w:color w:val="1E1E1E"/>
          <w:sz w:val="23"/>
        </w:rPr>
        <w:t>POST /api/v1/predict</w:t>
      </w:r>
      <w:r>
        <w:rPr>
          <w:rFonts w:ascii="Times New Roman" w:hAnsi="Times New Roman"/>
          <w:b w:val="0"/>
          <w:i w:val="0"/>
          <w:color w:val="1E1E1E"/>
          <w:sz w:val="24"/>
        </w:rPr>
        <w:t>: Central ingestion endpoint accepting multipart image uploads and optional patient IDs.</w:t>
      </w:r>
    </w:p>
    <w:p>
      <w:pPr>
        <w:pStyle w:val="ListBullet"/>
        <w:spacing w:before="0" w:after="40" w:line="276" w:lineRule="auto"/>
        <w:jc w:val="both"/>
      </w:pPr>
      <w:r>
        <w:rPr>
          <w:rFonts w:ascii="Times New Roman" w:hAnsi="Times New Roman"/>
          <w:b w:val="0"/>
          <w:i w:val="0"/>
          <w:color w:val="1E1E1E"/>
          <w:sz w:val="23"/>
        </w:rPr>
        <w:t>GET /api/v1/history</w:t>
      </w:r>
      <w:r>
        <w:rPr>
          <w:rFonts w:ascii="Times New Roman" w:hAnsi="Times New Roman"/>
          <w:b w:val="0"/>
          <w:i w:val="0"/>
          <w:color w:val="1E1E1E"/>
          <w:sz w:val="24"/>
        </w:rPr>
        <w:t>: Returns paginated, searchable historical diagnostic records.</w:t>
      </w:r>
    </w:p>
    <w:p>
      <w:pPr>
        <w:pStyle w:val="ListBullet"/>
        <w:spacing w:before="0" w:after="40" w:line="276" w:lineRule="auto"/>
        <w:jc w:val="both"/>
      </w:pPr>
      <w:r>
        <w:rPr>
          <w:rFonts w:ascii="Times New Roman" w:hAnsi="Times New Roman"/>
          <w:b w:val="0"/>
          <w:i w:val="0"/>
          <w:color w:val="1E1E1E"/>
          <w:sz w:val="23"/>
        </w:rPr>
        <w:t>GET /api/v1/metrics</w:t>
      </w:r>
      <w:r>
        <w:rPr>
          <w:rFonts w:ascii="Times New Roman" w:hAnsi="Times New Roman"/>
          <w:b w:val="0"/>
          <w:i w:val="0"/>
          <w:color w:val="1E1E1E"/>
          <w:sz w:val="24"/>
        </w:rPr>
        <w:t>: Provides real-time comparative benchmark statistics and per-class diagnostic metrics.</w:t>
      </w:r>
    </w:p>
    <w:p>
      <w:pPr>
        <w:pStyle w:val="ListBullet"/>
        <w:spacing w:before="0" w:after="40" w:line="276" w:lineRule="auto"/>
        <w:jc w:val="both"/>
      </w:pPr>
      <w:r>
        <w:rPr>
          <w:rFonts w:ascii="Times New Roman" w:hAnsi="Times New Roman"/>
          <w:b w:val="0"/>
          <w:i w:val="0"/>
          <w:color w:val="1E1E1E"/>
          <w:sz w:val="23"/>
        </w:rPr>
        <w:t>GET /api/v1/health</w:t>
      </w:r>
      <w:r>
        <w:rPr>
          <w:rFonts w:ascii="Times New Roman" w:hAnsi="Times New Roman"/>
          <w:b w:val="0"/>
          <w:i w:val="0"/>
          <w:color w:val="1E1E1E"/>
          <w:sz w:val="24"/>
        </w:rPr>
        <w:t>: Lightweight health check verifying model availability, GPU/CPU runtime status, and database connectivity.</w:t>
      </w:r>
    </w:p>
    <w:p>
      <w:pPr>
        <w:pStyle w:val="Heading2"/>
        <w:keepNext/>
        <w:spacing w:before="140" w:after="60"/>
        <w:jc w:val="left"/>
      </w:pPr>
      <w:r>
        <w:rPr>
          <w:rFonts w:ascii="Times New Roman" w:hAnsi="Times New Roman"/>
          <w:b/>
          <w:color w:val="185FA5"/>
          <w:sz w:val="28"/>
        </w:rPr>
        <w:t>9.2 Thread-Safe ML Inference Singleton &amp; Memory Management</w:t>
      </w:r>
    </w:p>
    <w:p>
      <w:pPr>
        <w:spacing w:before="0" w:after="70" w:line="276" w:lineRule="auto"/>
        <w:jc w:val="both"/>
      </w:pPr>
      <w:r>
        <w:rPr>
          <w:rFonts w:ascii="Times New Roman" w:hAnsi="Times New Roman"/>
          <w:b w:val="0"/>
          <w:i w:val="0"/>
          <w:color w:val="1E1E1E"/>
          <w:sz w:val="24"/>
        </w:rPr>
        <w:t xml:space="preserve">To prevent redundant model initialization and avoid out-of-memory errors on GPU and CPU hosts, the deep learning runtime is encapsulated within a thread-safe singleton class: </w:t>
      </w:r>
      <w:r>
        <w:rPr>
          <w:rFonts w:ascii="Times New Roman" w:hAnsi="Times New Roman"/>
          <w:b w:val="0"/>
          <w:i w:val="0"/>
          <w:color w:val="1E1E1E"/>
          <w:sz w:val="23"/>
        </w:rPr>
        <w:t>InferenceEngine</w:t>
      </w:r>
      <w:r>
        <w:rPr>
          <w:rFonts w:ascii="Times New Roman" w:hAnsi="Times New Roman"/>
          <w:b w:val="0"/>
          <w:i w:val="0"/>
          <w:color w:val="1E1E1E"/>
          <w:sz w:val="24"/>
        </w:rPr>
        <w:t>.</w:t>
      </w:r>
    </w:p>
    <w:p>
      <w:pPr>
        <w:spacing w:before="0" w:after="70" w:line="276" w:lineRule="auto"/>
        <w:jc w:val="both"/>
      </w:pPr>
      <w:r>
        <w:rPr>
          <w:rFonts w:ascii="Times New Roman" w:hAnsi="Times New Roman"/>
          <w:b w:val="0"/>
          <w:i w:val="0"/>
          <w:color w:val="1E1E1E"/>
          <w:sz w:val="24"/>
        </w:rPr>
        <w:t>Key implementation characteristics include:</w:t>
      </w:r>
    </w:p>
    <w:p>
      <w:pPr>
        <w:pStyle w:val="ListNumber"/>
        <w:spacing w:before="0" w:after="40" w:line="276" w:lineRule="auto"/>
        <w:jc w:val="both"/>
      </w:pPr>
      <w:r>
        <w:rPr>
          <w:rFonts w:ascii="Times New Roman" w:hAnsi="Times New Roman"/>
          <w:b/>
          <w:i w:val="0"/>
          <w:color w:val="0B1F3A"/>
          <w:sz w:val="24"/>
        </w:rPr>
        <w:t>Double-Checked Locking</w:t>
      </w:r>
      <w:r>
        <w:rPr>
          <w:rFonts w:ascii="Times New Roman" w:hAnsi="Times New Roman"/>
          <w:b w:val="0"/>
          <w:i w:val="0"/>
          <w:color w:val="1E1E1E"/>
          <w:sz w:val="24"/>
        </w:rPr>
        <w:t>: Thread-safe lazy instantiation ensures that the DenseNet-121 backbone weights (~28 MB) and CXR Gate weights (~28 MB) are loaded into system memory exactly once during application startup.</w:t>
      </w:r>
    </w:p>
    <w:p>
      <w:pPr>
        <w:pStyle w:val="ListNumber"/>
        <w:spacing w:before="0" w:after="40" w:line="276" w:lineRule="auto"/>
        <w:jc w:val="both"/>
      </w:pPr>
      <w:r>
        <w:rPr>
          <w:rFonts w:ascii="Times New Roman" w:hAnsi="Times New Roman"/>
          <w:b/>
          <w:i w:val="0"/>
          <w:color w:val="0B1F3A"/>
          <w:sz w:val="24"/>
        </w:rPr>
        <w:t>Context-Managed Evaluation</w:t>
      </w:r>
      <w:r>
        <w:rPr>
          <w:rFonts w:ascii="Times New Roman" w:hAnsi="Times New Roman"/>
          <w:b w:val="0"/>
          <w:i w:val="0"/>
          <w:color w:val="1E1E1E"/>
          <w:sz w:val="24"/>
        </w:rPr>
        <w:t xml:space="preserve">: All tensor forward passes are wrapped within </w:t>
      </w:r>
      <w:r>
        <w:rPr>
          <w:rFonts w:ascii="Times New Roman" w:hAnsi="Times New Roman"/>
          <w:b w:val="0"/>
          <w:i w:val="0"/>
          <w:color w:val="1E1E1E"/>
          <w:sz w:val="23"/>
        </w:rPr>
        <w:t>torch.no_grad()</w:t>
      </w:r>
      <w:r>
        <w:rPr>
          <w:rFonts w:ascii="Times New Roman" w:hAnsi="Times New Roman"/>
          <w:b w:val="0"/>
          <w:i w:val="0"/>
          <w:color w:val="1E1E1E"/>
          <w:sz w:val="24"/>
        </w:rPr>
        <w:t xml:space="preserve"> blocks and set to </w:t>
      </w:r>
      <w:r>
        <w:rPr>
          <w:rFonts w:ascii="Times New Roman" w:hAnsi="Times New Roman"/>
          <w:b w:val="0"/>
          <w:i w:val="0"/>
          <w:color w:val="1E1E1E"/>
          <w:sz w:val="23"/>
        </w:rPr>
        <w:t>model.eval()</w:t>
      </w:r>
      <w:r>
        <w:rPr>
          <w:rFonts w:ascii="Times New Roman" w:hAnsi="Times New Roman"/>
          <w:b w:val="0"/>
          <w:i w:val="0"/>
          <w:color w:val="1E1E1E"/>
          <w:sz w:val="24"/>
        </w:rPr>
        <w:t>, disabling dropout, freezing batch normalization statistics, and preventing gradient computation graph allocation.</w:t>
      </w:r>
    </w:p>
    <w:p>
      <w:pPr>
        <w:pStyle w:val="ListNumber"/>
        <w:spacing w:before="0" w:after="40" w:line="276" w:lineRule="auto"/>
        <w:jc w:val="both"/>
      </w:pPr>
      <w:r>
        <w:rPr>
          <w:rFonts w:ascii="Times New Roman" w:hAnsi="Times New Roman"/>
          <w:b/>
          <w:i w:val="0"/>
          <w:color w:val="0B1F3A"/>
          <w:sz w:val="24"/>
        </w:rPr>
        <w:t>Explicit Memory Garbage Collection</w:t>
      </w:r>
      <w:r>
        <w:rPr>
          <w:rFonts w:ascii="Times New Roman" w:hAnsi="Times New Roman"/>
          <w:b w:val="0"/>
          <w:i w:val="0"/>
          <w:color w:val="1E1E1E"/>
          <w:sz w:val="24"/>
        </w:rPr>
        <w:t xml:space="preserve">: After inference, intermediate tensor allocations are explicitly cleared via Python garbage collection and </w:t>
      </w:r>
      <w:r>
        <w:rPr>
          <w:rFonts w:ascii="Times New Roman" w:hAnsi="Times New Roman"/>
          <w:b w:val="0"/>
          <w:i w:val="0"/>
          <w:color w:val="1E1E1E"/>
          <w:sz w:val="23"/>
        </w:rPr>
        <w:t>torch.cuda.empty_cache()</w:t>
      </w:r>
      <w:r>
        <w:rPr>
          <w:rFonts w:ascii="Times New Roman" w:hAnsi="Times New Roman"/>
          <w:b w:val="0"/>
          <w:i w:val="0"/>
          <w:color w:val="1E1E1E"/>
          <w:sz w:val="24"/>
        </w:rPr>
        <w:t xml:space="preserve"> when running on GPU hosts.</w:t>
      </w:r>
    </w:p>
    <w:p>
      <w:pPr>
        <w:pStyle w:val="Heading2"/>
        <w:keepNext/>
        <w:spacing w:before="140" w:after="60"/>
        <w:jc w:val="left"/>
      </w:pPr>
      <w:r>
        <w:rPr>
          <w:rFonts w:ascii="Times New Roman" w:hAnsi="Times New Roman"/>
          <w:b/>
          <w:color w:val="185FA5"/>
          <w:sz w:val="28"/>
        </w:rPr>
        <w:t>9.3 Two-Stage CXR Validation Gate Implementation</w:t>
      </w:r>
    </w:p>
    <w:p>
      <w:pPr>
        <w:spacing w:before="0" w:after="70" w:line="276" w:lineRule="auto"/>
        <w:jc w:val="both"/>
      </w:pPr>
      <w:r>
        <w:rPr>
          <w:rFonts w:ascii="Times New Roman" w:hAnsi="Times New Roman"/>
          <w:b w:val="0"/>
          <w:i w:val="0"/>
          <w:color w:val="1E1E1E"/>
          <w:sz w:val="24"/>
        </w:rPr>
        <w:t xml:space="preserve">The Two-Stage CXR Validation Gate is implemented as a defensive pre-inference pipeline in </w:t>
      </w:r>
      <w:r>
        <w:rPr>
          <w:rFonts w:ascii="Times New Roman" w:hAnsi="Times New Roman"/>
          <w:b w:val="0"/>
          <w:i w:val="0"/>
          <w:color w:val="1E1E1E"/>
          <w:sz w:val="23"/>
        </w:rPr>
        <w:t>backend/services/cxr_gate.py</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Stage 1 (Biophysical Heuristics)</w:t>
      </w:r>
      <w:r>
        <w:rPr>
          <w:rFonts w:ascii="Times New Roman" w:hAnsi="Times New Roman"/>
          <w:b w:val="0"/>
          <w:i w:val="0"/>
          <w:color w:val="1E1E1E"/>
          <w:sz w:val="24"/>
        </w:rPr>
        <w:t>: Decodes raw image bytes via OpenCV. It measures color saturation in HSV space and computes the luminance standard deviation. Natural multi-channel photographs (e.g., outdoor scenes, animals, skin lesions) exceeding saturation thresholds are flagged immediately.</w:t>
      </w:r>
    </w:p>
    <w:p>
      <w:pPr>
        <w:pStyle w:val="ListBullet"/>
        <w:spacing w:before="0" w:after="40" w:line="276" w:lineRule="auto"/>
        <w:jc w:val="both"/>
      </w:pPr>
      <w:r>
        <w:rPr>
          <w:rFonts w:ascii="Times New Roman" w:hAnsi="Times New Roman"/>
          <w:b/>
          <w:i w:val="0"/>
          <w:color w:val="0B1F3A"/>
          <w:sz w:val="24"/>
        </w:rPr>
        <w:t>Stage 2 (Anatomical Verification Classifier)</w:t>
      </w:r>
      <w:r>
        <w:rPr>
          <w:rFonts w:ascii="Times New Roman" w:hAnsi="Times New Roman"/>
          <w:b w:val="0"/>
          <w:i w:val="0"/>
          <w:color w:val="1E1E1E"/>
          <w:sz w:val="24"/>
        </w:rPr>
        <w:t xml:space="preserve">: A dedicated DenseNet-121 binary classifier evaluates the normalized image tensor. If the predicted probability of being a valid planar chest radiograph falls below the selected production operating threshold </w:t>
      </w:r>
      <w:r>
        <w:rPr>
          <w:rFonts w:ascii="Times New Roman" w:hAnsi="Times New Roman"/>
          <w:b w:val="0"/>
          <w:i/>
          <w:color w:val="1E1E1E"/>
          <w:sz w:val="24"/>
        </w:rPr>
        <w:tab/>
        <w:t>au = 0.83</w:t>
      </w:r>
      <w:r>
        <w:rPr>
          <w:rFonts w:ascii="Times New Roman" w:hAnsi="Times New Roman"/>
          <w:b w:val="0"/>
          <w:i w:val="0"/>
          <w:color w:val="1E1E1E"/>
          <w:sz w:val="24"/>
        </w:rPr>
        <w:t xml:space="preserve">, the pipeline halts immediately, raising an </w:t>
      </w:r>
      <w:r>
        <w:rPr>
          <w:rFonts w:ascii="Times New Roman" w:hAnsi="Times New Roman"/>
          <w:b w:val="0"/>
          <w:i w:val="0"/>
          <w:color w:val="1E1E1E"/>
          <w:sz w:val="23"/>
        </w:rPr>
        <w:t>HTTPException(status_code=422, detail="Uploaded file is not a valid planar chest radiograph")</w:t>
      </w:r>
      <w:r>
        <w:rPr>
          <w:rFonts w:ascii="Times New Roman" w:hAnsi="Times New Roman"/>
          <w:b w:val="0"/>
          <w:i w:val="0"/>
          <w:color w:val="1E1E1E"/>
          <w:sz w:val="24"/>
        </w:rPr>
        <w:t>. This guarantees that the downstream Frequency-Aware DenseNet-121 classifier (Model D) is protected from non-thoracic out-of-distribution inputs within the evaluated workflow.</w:t>
      </w:r>
    </w:p>
    <w:p>
      <w:pPr>
        <w:pStyle w:val="Heading2"/>
        <w:keepNext/>
        <w:spacing w:before="140" w:after="60"/>
        <w:jc w:val="left"/>
      </w:pPr>
      <w:r>
        <w:rPr>
          <w:rFonts w:ascii="Times New Roman" w:hAnsi="Times New Roman"/>
          <w:b/>
          <w:color w:val="185FA5"/>
          <w:sz w:val="28"/>
        </w:rPr>
        <w:t>9.4 Real-Time Grad-CAM Saliency Generation</w:t>
      </w:r>
    </w:p>
    <w:p>
      <w:pPr>
        <w:spacing w:before="0" w:after="70" w:line="276" w:lineRule="auto"/>
        <w:jc w:val="both"/>
      </w:pPr>
      <w:r>
        <w:rPr>
          <w:rFonts w:ascii="Times New Roman" w:hAnsi="Times New Roman"/>
          <w:b w:val="0"/>
          <w:i w:val="0"/>
          <w:color w:val="1E1E1E"/>
          <w:sz w:val="24"/>
        </w:rPr>
        <w:t>Visual explainability is implemented through an optimized Grad-CAM module hooking into the final convolutional layer of DenseNet-121 (</w:t>
      </w:r>
      <w:r>
        <w:rPr>
          <w:rFonts w:ascii="Times New Roman" w:hAnsi="Times New Roman"/>
          <w:b w:val="0"/>
          <w:i w:val="0"/>
          <w:color w:val="1E1E1E"/>
          <w:sz w:val="23"/>
        </w:rPr>
        <w:t>features.denseblock4.denselayer16.conv2</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Forward Hook</w:t>
      </w:r>
      <w:r>
        <w:rPr>
          <w:rFonts w:ascii="Times New Roman" w:hAnsi="Times New Roman"/>
          <w:b w:val="0"/>
          <w:i w:val="0"/>
          <w:color w:val="1E1E1E"/>
          <w:sz w:val="24"/>
        </w:rPr>
        <w:t xml:space="preserve">: Captures spatial activations </w:t>
      </w:r>
      <w:r>
        <w:rPr>
          <w:rFonts w:ascii="Times New Roman" w:hAnsi="Times New Roman"/>
          <w:b w:val="0"/>
          <w:i/>
          <w:color w:val="1E1E1E"/>
          <w:sz w:val="24"/>
        </w:rPr>
        <w:t xml:space="preserve">A \in \mathbb{R}^{1024 </w:t>
        <w:tab/>
        <w:t xml:space="preserve">imes 7 </w:t>
        <w:tab/>
        <w:t>imes 7}</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Backward Hook</w:t>
      </w:r>
      <w:r>
        <w:rPr>
          <w:rFonts w:ascii="Times New Roman" w:hAnsi="Times New Roman"/>
          <w:b w:val="0"/>
          <w:i w:val="0"/>
          <w:color w:val="1E1E1E"/>
          <w:sz w:val="24"/>
        </w:rPr>
        <w:t>: Computes gradients $</w:t>
      </w:r>
    </w:p>
    <w:p>
      <w:pPr>
        <w:spacing w:before="0" w:after="70" w:line="276" w:lineRule="auto"/>
        <w:jc w:val="both"/>
      </w:pPr>
      <w:r>
        <w:rPr>
          <w:rFonts w:ascii="Times New Roman" w:hAnsi="Times New Roman"/>
          <w:b w:val="0"/>
          <w:i w:val="0"/>
          <w:color w:val="1E1E1E"/>
          <w:sz w:val="24"/>
        </w:rPr>
        <w:t>rac{\partial y^c}{\partial A}</w:t>
      </w:r>
      <w:r>
        <w:rPr>
          <w:rFonts w:ascii="Times New Roman" w:hAnsi="Times New Roman"/>
          <w:b w:val="0"/>
          <w:i/>
          <w:color w:val="1E1E1E"/>
          <w:sz w:val="24"/>
        </w:rPr>
        <w:t xml:space="preserve"> for the predicted class score </w:t>
      </w:r>
      <w:r>
        <w:rPr>
          <w:rFonts w:ascii="Times New Roman" w:hAnsi="Times New Roman"/>
          <w:b w:val="0"/>
          <w:i w:val="0"/>
          <w:color w:val="1E1E1E"/>
          <w:sz w:val="24"/>
        </w:rPr>
        <w:t>y^c$.</w:t>
      </w:r>
    </w:p>
    <w:p>
      <w:pPr>
        <w:pStyle w:val="ListNumber"/>
        <w:spacing w:before="0" w:after="40" w:line="276" w:lineRule="auto"/>
        <w:jc w:val="both"/>
      </w:pPr>
      <w:r>
        <w:rPr>
          <w:rFonts w:ascii="Times New Roman" w:hAnsi="Times New Roman"/>
          <w:b/>
          <w:i w:val="0"/>
          <w:color w:val="0B1F3A"/>
          <w:sz w:val="24"/>
        </w:rPr>
        <w:t>Channel Weighting &amp; Rectification</w:t>
      </w:r>
      <w:r>
        <w:rPr>
          <w:rFonts w:ascii="Times New Roman" w:hAnsi="Times New Roman"/>
          <w:b w:val="0"/>
          <w:i w:val="0"/>
          <w:color w:val="1E1E1E"/>
          <w:sz w:val="24"/>
        </w:rPr>
        <w:t xml:space="preserve">: Computes channel-wise importance weights </w:t>
      </w:r>
      <w:r>
        <w:rPr>
          <w:rFonts w:ascii="Times New Roman" w:hAnsi="Times New Roman"/>
          <w:b w:val="0"/>
          <w:i/>
          <w:color w:val="1E1E1E"/>
          <w:sz w:val="24"/>
        </w:rPr>
        <w:t>lpha_k^c</w:t>
      </w:r>
      <w:r>
        <w:rPr>
          <w:rFonts w:ascii="Times New Roman" w:hAnsi="Times New Roman"/>
          <w:b w:val="0"/>
          <w:i w:val="0"/>
          <w:color w:val="1E1E1E"/>
          <w:sz w:val="24"/>
        </w:rPr>
        <w:t xml:space="preserve"> via global average pooling, multiplies feature maps, applies ReLU, and normalizes the resulting matrix to </w:t>
      </w:r>
      <w:r>
        <w:rPr>
          <w:rFonts w:ascii="Times New Roman" w:hAnsi="Times New Roman"/>
          <w:b w:val="0"/>
          <w:i/>
          <w:color w:val="1E1E1E"/>
          <w:sz w:val="24"/>
        </w:rPr>
        <w:t>[0, 1]</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Colormap Rendering</w:t>
      </w:r>
      <w:r>
        <w:rPr>
          <w:rFonts w:ascii="Times New Roman" w:hAnsi="Times New Roman"/>
          <w:b w:val="0"/>
          <w:i w:val="0"/>
          <w:color w:val="1E1E1E"/>
          <w:sz w:val="24"/>
        </w:rPr>
        <w:t xml:space="preserve">: Resizes the </w:t>
      </w:r>
      <w:r>
        <w:rPr>
          <w:rFonts w:ascii="Times New Roman" w:hAnsi="Times New Roman"/>
          <w:b w:val="0"/>
          <w:i/>
          <w:color w:val="1E1E1E"/>
          <w:sz w:val="24"/>
        </w:rPr>
        <w:t xml:space="preserve">7 </w:t>
        <w:tab/>
        <w:t>imes 7</w:t>
      </w:r>
      <w:r>
        <w:rPr>
          <w:rFonts w:ascii="Times New Roman" w:hAnsi="Times New Roman"/>
          <w:b w:val="0"/>
          <w:i w:val="0"/>
          <w:color w:val="1E1E1E"/>
          <w:sz w:val="24"/>
        </w:rPr>
        <w:t xml:space="preserve"> heatmap to the original image dimensions using bilinear interpolation, applies the OpenCV </w:t>
      </w:r>
      <w:r>
        <w:rPr>
          <w:rFonts w:ascii="Times New Roman" w:hAnsi="Times New Roman"/>
          <w:b w:val="0"/>
          <w:i w:val="0"/>
          <w:color w:val="1E1E1E"/>
          <w:sz w:val="23"/>
        </w:rPr>
        <w:t>COLORMAP_JET</w:t>
      </w:r>
      <w:r>
        <w:rPr>
          <w:rFonts w:ascii="Times New Roman" w:hAnsi="Times New Roman"/>
          <w:b w:val="0"/>
          <w:i w:val="0"/>
          <w:color w:val="1E1E1E"/>
          <w:sz w:val="24"/>
        </w:rPr>
        <w:t xml:space="preserve"> pseudo-color lookup table, and alpha-blends the heatmap with the grayscale radiograph (</w:t>
      </w:r>
      <w:r>
        <w:rPr>
          <w:rFonts w:ascii="Times New Roman" w:hAnsi="Times New Roman"/>
          <w:b w:val="0"/>
          <w:i/>
          <w:color w:val="1E1E1E"/>
          <w:sz w:val="24"/>
        </w:rPr>
        <w:t>lpha = 0.40, eta = 0.60</w:t>
      </w:r>
      <w:r>
        <w:rPr>
          <w:rFonts w:ascii="Times New Roman" w:hAnsi="Times New Roman"/>
          <w:b w:val="0"/>
          <w:i w:val="0"/>
          <w:color w:val="1E1E1E"/>
          <w:sz w:val="24"/>
        </w:rPr>
        <w:t>).</w:t>
      </w:r>
    </w:p>
    <w:p>
      <w:pPr>
        <w:pStyle w:val="Heading2"/>
        <w:keepNext/>
        <w:spacing w:before="140" w:after="60"/>
        <w:jc w:val="left"/>
      </w:pPr>
      <w:r>
        <w:rPr>
          <w:rFonts w:ascii="Times New Roman" w:hAnsi="Times New Roman"/>
          <w:b/>
          <w:color w:val="185FA5"/>
          <w:sz w:val="28"/>
        </w:rPr>
        <w:t>9.5 Database Persistence &amp; Case Management (SQLAlchemy / SQLite)</w:t>
      </w:r>
    </w:p>
    <w:p>
      <w:pPr>
        <w:spacing w:before="0" w:after="70" w:line="276" w:lineRule="auto"/>
        <w:jc w:val="both"/>
      </w:pPr>
      <w:r>
        <w:rPr>
          <w:rFonts w:ascii="Times New Roman" w:hAnsi="Times New Roman"/>
          <w:b w:val="0"/>
          <w:i w:val="0"/>
          <w:color w:val="1E1E1E"/>
          <w:sz w:val="24"/>
        </w:rPr>
        <w:t xml:space="preserve">Relational persistence is implemented using </w:t>
      </w:r>
      <w:r>
        <w:rPr>
          <w:rFonts w:ascii="Times New Roman" w:hAnsi="Times New Roman"/>
          <w:b/>
          <w:i w:val="0"/>
          <w:color w:val="0B1F3A"/>
          <w:sz w:val="24"/>
        </w:rPr>
        <w:t>SQLAlchemy ORM</w:t>
      </w:r>
      <w:r>
        <w:rPr>
          <w:rFonts w:ascii="Times New Roman" w:hAnsi="Times New Roman"/>
          <w:b w:val="0"/>
          <w:i w:val="0"/>
          <w:color w:val="1E1E1E"/>
          <w:sz w:val="24"/>
        </w:rPr>
        <w:t xml:space="preserve"> backed by an ACID-compliant </w:t>
      </w:r>
      <w:r>
        <w:rPr>
          <w:rFonts w:ascii="Times New Roman" w:hAnsi="Times New Roman"/>
          <w:b/>
          <w:i w:val="0"/>
          <w:color w:val="0B1F3A"/>
          <w:sz w:val="24"/>
        </w:rPr>
        <w:t>SQLite</w:t>
      </w:r>
      <w:r>
        <w:rPr>
          <w:rFonts w:ascii="Times New Roman" w:hAnsi="Times New Roman"/>
          <w:b w:val="0"/>
          <w:i w:val="0"/>
          <w:color w:val="1E1E1E"/>
          <w:sz w:val="24"/>
        </w:rPr>
        <w:t xml:space="preserve"> database (</w:t>
      </w:r>
      <w:r>
        <w:rPr>
          <w:rFonts w:ascii="Times New Roman" w:hAnsi="Times New Roman"/>
          <w:b w:val="0"/>
          <w:i w:val="0"/>
          <w:color w:val="1E1E1E"/>
          <w:sz w:val="23"/>
        </w:rPr>
        <w:t>lungai.db</w:t>
      </w:r>
      <w:r>
        <w:rPr>
          <w:rFonts w:ascii="Times New Roman" w:hAnsi="Times New Roman"/>
          <w:b w:val="0"/>
          <w:i w:val="0"/>
          <w:color w:val="1E1E1E"/>
          <w:sz w:val="24"/>
        </w:rPr>
        <w:t>). The schema maintains two primary tables:</w:t>
      </w:r>
    </w:p>
    <w:p>
      <w:pPr>
        <w:pStyle w:val="ListBullet"/>
        <w:spacing w:before="0" w:after="40" w:line="276" w:lineRule="auto"/>
        <w:jc w:val="both"/>
      </w:pPr>
      <w:r>
        <w:rPr>
          <w:rFonts w:ascii="Times New Roman" w:hAnsi="Times New Roman"/>
          <w:b w:val="0"/>
          <w:i w:val="0"/>
          <w:color w:val="1E1E1E"/>
          <w:sz w:val="23"/>
        </w:rPr>
        <w:t>patients</w:t>
      </w:r>
      <w:r>
        <w:rPr>
          <w:rFonts w:ascii="Times New Roman" w:hAnsi="Times New Roman"/>
          <w:b w:val="0"/>
          <w:i w:val="0"/>
          <w:color w:val="1E1E1E"/>
          <w:sz w:val="24"/>
        </w:rPr>
        <w:t>: Stores unique patient identifiers, demographic information, and admission records.</w:t>
      </w:r>
    </w:p>
    <w:p>
      <w:pPr>
        <w:pStyle w:val="ListBullet"/>
        <w:spacing w:before="0" w:after="40" w:line="276" w:lineRule="auto"/>
        <w:jc w:val="both"/>
      </w:pPr>
      <w:r>
        <w:rPr>
          <w:rFonts w:ascii="Times New Roman" w:hAnsi="Times New Roman"/>
          <w:b w:val="0"/>
          <w:i w:val="0"/>
          <w:color w:val="1E1E1E"/>
          <w:sz w:val="23"/>
        </w:rPr>
        <w:t>predictions</w:t>
      </w:r>
      <w:r>
        <w:rPr>
          <w:rFonts w:ascii="Times New Roman" w:hAnsi="Times New Roman"/>
          <w:b w:val="0"/>
          <w:i w:val="0"/>
          <w:color w:val="1E1E1E"/>
          <w:sz w:val="24"/>
        </w:rPr>
        <w:t>: Records the timestamp, original image filename, storage path, predicted class, class probabilities JSON payload, confidence score, triage level, gate status, and processing latency.</w:t>
      </w:r>
    </w:p>
    <w:p>
      <w:pPr>
        <w:spacing w:before="0" w:after="70" w:line="276" w:lineRule="auto"/>
        <w:jc w:val="both"/>
      </w:pPr>
      <w:r>
        <w:rPr>
          <w:rFonts w:ascii="Times New Roman" w:hAnsi="Times New Roman"/>
          <w:b w:val="0"/>
          <w:i w:val="0"/>
          <w:color w:val="1E1E1E"/>
          <w:sz w:val="24"/>
        </w:rPr>
        <w:t>This provides healthcare facilities with an indelible, longitudinal audit trail for clinical quality control and medico-legal compliance.</w:t>
      </w:r>
    </w:p>
    <w:p>
      <w:pPr>
        <w:pStyle w:val="Heading2"/>
        <w:keepNext/>
        <w:spacing w:before="140" w:after="60"/>
        <w:jc w:val="left"/>
      </w:pPr>
      <w:r>
        <w:rPr>
          <w:rFonts w:ascii="Times New Roman" w:hAnsi="Times New Roman"/>
          <w:b/>
          <w:color w:val="185FA5"/>
          <w:sz w:val="28"/>
        </w:rPr>
        <w:t>9.6 Frontend Client Architecture (React 18 &amp; Glassmorphic UI)</w:t>
      </w:r>
    </w:p>
    <w:p>
      <w:pPr>
        <w:spacing w:before="0" w:after="70" w:line="276" w:lineRule="auto"/>
        <w:jc w:val="both"/>
      </w:pPr>
      <w:r>
        <w:rPr>
          <w:rFonts w:ascii="Times New Roman" w:hAnsi="Times New Roman"/>
          <w:b w:val="0"/>
          <w:i w:val="0"/>
          <w:color w:val="1E1E1E"/>
          <w:sz w:val="24"/>
        </w:rPr>
        <w:t xml:space="preserve">The user interface is engineered as a modern Single-Page Application (SPA) using </w:t>
      </w:r>
      <w:r>
        <w:rPr>
          <w:rFonts w:ascii="Times New Roman" w:hAnsi="Times New Roman"/>
          <w:b/>
          <w:i w:val="0"/>
          <w:color w:val="0B1F3A"/>
          <w:sz w:val="24"/>
        </w:rPr>
        <w:t>React 18</w:t>
      </w:r>
      <w:r>
        <w:rPr>
          <w:rFonts w:ascii="Times New Roman" w:hAnsi="Times New Roman"/>
          <w:b w:val="0"/>
          <w:i w:val="0"/>
          <w:color w:val="1E1E1E"/>
          <w:sz w:val="24"/>
        </w:rPr>
        <w:t xml:space="preserve"> and </w:t>
      </w:r>
      <w:r>
        <w:rPr>
          <w:rFonts w:ascii="Times New Roman" w:hAnsi="Times New Roman"/>
          <w:b/>
          <w:i w:val="0"/>
          <w:color w:val="0B1F3A"/>
          <w:sz w:val="24"/>
        </w:rPr>
        <w:t>Vite</w:t>
      </w:r>
      <w:r>
        <w:rPr>
          <w:rFonts w:ascii="Times New Roman" w:hAnsi="Times New Roman"/>
          <w:b w:val="0"/>
          <w:i w:val="0"/>
          <w:color w:val="1E1E1E"/>
          <w:sz w:val="24"/>
        </w:rPr>
        <w:t>. The design system incorporates a clinical-grade glassmorphic aesthetic with dark-mode accents, high-contrast typography, and intuitive color coding for emergency triage levels. State management utilizes React hooks with Axios for asynchronous REST communication, providing real-time upload progress, interactive probability distribution charts (Recharts), and side-by-side radiograph/Grad-CAM visual comparisons.</w:t>
      </w:r>
    </w:p>
    <w:p>
      <w:r>
        <w:br w:type="page"/>
      </w:r>
    </w:p>
    <w:p>
      <w:pPr>
        <w:pStyle w:val="Heading1"/>
        <w:keepNext/>
        <w:spacing w:before="160" w:after="120"/>
        <w:jc w:val="left"/>
      </w:pPr>
      <w:r>
        <w:rPr>
          <w:rFonts w:ascii="Times New Roman" w:hAnsi="Times New Roman"/>
          <w:b/>
          <w:color w:val="0B1F3A"/>
          <w:sz w:val="32"/>
        </w:rPr>
        <w:t>CHAPTER 10 – USER INTERFACE</w:t>
      </w:r>
    </w:p>
    <w:p>
      <w:pPr>
        <w:pStyle w:val="Heading2"/>
        <w:keepNext/>
        <w:spacing w:before="140" w:after="60"/>
        <w:jc w:val="left"/>
      </w:pPr>
      <w:r>
        <w:rPr>
          <w:rFonts w:ascii="Times New Roman" w:hAnsi="Times New Roman"/>
          <w:b/>
          <w:color w:val="185FA5"/>
          <w:sz w:val="28"/>
        </w:rPr>
        <w:t>10.1 User Interface Design Philosophy &amp; Clinical Ergonomics</w:t>
      </w:r>
    </w:p>
    <w:p>
      <w:pPr>
        <w:spacing w:before="0" w:after="70" w:line="276" w:lineRule="auto"/>
        <w:jc w:val="both"/>
      </w:pPr>
      <w:r>
        <w:rPr>
          <w:rFonts w:ascii="Times New Roman" w:hAnsi="Times New Roman"/>
          <w:b w:val="0"/>
          <w:i w:val="0"/>
          <w:color w:val="1E1E1E"/>
          <w:sz w:val="24"/>
        </w:rPr>
        <w:t>The user interface of LungAI was designed adhering to clinical ergonomics guidelines:</w:t>
      </w:r>
    </w:p>
    <w:p>
      <w:pPr>
        <w:pStyle w:val="ListNumber"/>
        <w:spacing w:before="0" w:after="40" w:line="276" w:lineRule="auto"/>
        <w:jc w:val="both"/>
      </w:pPr>
      <w:r>
        <w:rPr>
          <w:rFonts w:ascii="Times New Roman" w:hAnsi="Times New Roman"/>
          <w:b/>
          <w:i w:val="0"/>
          <w:color w:val="0B1F3A"/>
          <w:sz w:val="24"/>
        </w:rPr>
        <w:t>Rapid Triage Comprehension</w:t>
      </w:r>
      <w:r>
        <w:rPr>
          <w:rFonts w:ascii="Times New Roman" w:hAnsi="Times New Roman"/>
          <w:b w:val="0"/>
          <w:i w:val="0"/>
          <w:color w:val="1E1E1E"/>
          <w:sz w:val="24"/>
        </w:rPr>
        <w:t>: Emergency and urgent diagnostic classifications are visually prioritized using universal medical triage colors (Red = Emergency, Amber = Urgent, Yellow = Review, Green = Routine).</w:t>
      </w:r>
    </w:p>
    <w:p>
      <w:pPr>
        <w:pStyle w:val="ListNumber"/>
        <w:spacing w:before="0" w:after="40" w:line="276" w:lineRule="auto"/>
        <w:jc w:val="both"/>
      </w:pPr>
      <w:r>
        <w:rPr>
          <w:rFonts w:ascii="Times New Roman" w:hAnsi="Times New Roman"/>
          <w:b/>
          <w:i w:val="0"/>
          <w:color w:val="0B1F3A"/>
          <w:sz w:val="24"/>
        </w:rPr>
        <w:t>Side-by-Side Explainability</w:t>
      </w:r>
      <w:r>
        <w:rPr>
          <w:rFonts w:ascii="Times New Roman" w:hAnsi="Times New Roman"/>
          <w:b w:val="0"/>
          <w:i w:val="0"/>
          <w:color w:val="1E1E1E"/>
          <w:sz w:val="24"/>
        </w:rPr>
        <w:t>: The original radiograph is presented adjacent to the Grad-CAM saliency map, allowing clinicians to visually verify anatomical lesion localization without toggling views.</w:t>
      </w:r>
    </w:p>
    <w:p>
      <w:pPr>
        <w:pStyle w:val="ListNumber"/>
        <w:spacing w:before="0" w:after="40" w:line="276" w:lineRule="auto"/>
        <w:jc w:val="both"/>
      </w:pPr>
      <w:r>
        <w:rPr>
          <w:rFonts w:ascii="Times New Roman" w:hAnsi="Times New Roman"/>
          <w:b/>
          <w:i w:val="0"/>
          <w:color w:val="0B1F3A"/>
          <w:sz w:val="24"/>
        </w:rPr>
        <w:t>Zero Configuration Deployment</w:t>
      </w:r>
      <w:r>
        <w:rPr>
          <w:rFonts w:ascii="Times New Roman" w:hAnsi="Times New Roman"/>
          <w:b w:val="0"/>
          <w:i w:val="0"/>
          <w:color w:val="1E1E1E"/>
          <w:sz w:val="24"/>
        </w:rPr>
        <w:t>: The web client runs in any standard hospital browser without requiring client-side plugin installations or specialized medical display hardware.</w:t>
      </w:r>
    </w:p>
    <w:p>
      <w:pPr>
        <w:pStyle w:val="Heading2"/>
        <w:keepNext/>
        <w:spacing w:before="140" w:after="60"/>
        <w:jc w:val="left"/>
      </w:pPr>
      <w:r>
        <w:rPr>
          <w:rFonts w:ascii="Times New Roman" w:hAnsi="Times New Roman"/>
          <w:b/>
          <w:color w:val="185FA5"/>
          <w:sz w:val="28"/>
        </w:rPr>
        <w:t>10.2 Diagnostic Dashboard &amp; Application Overview</w:t>
      </w:r>
    </w:p>
    <w:p>
      <w:pPr>
        <w:spacing w:before="0" w:after="70" w:line="276" w:lineRule="auto"/>
        <w:jc w:val="both"/>
      </w:pPr>
      <w:r>
        <w:rPr>
          <w:rFonts w:ascii="Times New Roman" w:hAnsi="Times New Roman"/>
          <w:b w:val="0"/>
          <w:i w:val="0"/>
          <w:color w:val="1E1E1E"/>
          <w:sz w:val="24"/>
        </w:rPr>
        <w:t>Figure 10.1 displays the primary landing dashboard of LungAI, providing clinicians with high-level access to recent study uploads, quick-action triage buttons, and platform health status.</w:t>
      </w:r>
    </w:p>
    <w:p>
      <w:pPr>
        <w:keepNext/>
        <w:spacing w:before="80" w:after="40"/>
        <w:jc w:val="center"/>
      </w:pPr>
      <w:r>
        <w:drawing>
          <wp:inline xmlns:a="http://schemas.openxmlformats.org/drawingml/2006/main" xmlns:pic="http://schemas.openxmlformats.org/drawingml/2006/picture">
            <wp:extent cx="5303520" cy="2457634"/>
            <wp:docPr id="15" name="Picture 15"/>
            <wp:cNvGraphicFramePr>
              <a:graphicFrameLocks noChangeAspect="1"/>
            </wp:cNvGraphicFramePr>
            <a:graphic>
              <a:graphicData uri="http://schemas.openxmlformats.org/drawingml/2006/picture">
                <pic:pic>
                  <pic:nvPicPr>
                    <pic:cNvPr id="0" name="01_home.png"/>
                    <pic:cNvPicPr/>
                  </pic:nvPicPr>
                  <pic:blipFill>
                    <a:blip r:embed="rId25"/>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10.1:</w:t>
      </w:r>
      <w:r>
        <w:rPr>
          <w:rFonts w:ascii="Times New Roman" w:hAnsi="Times New Roman"/>
          <w:i/>
          <w:color w:val="1E1E1E"/>
          <w:sz w:val="22"/>
        </w:rPr>
        <w:t xml:space="preserve"> LungAI Diagnostic Dashboard and Application Overview</w:t>
      </w:r>
    </w:p>
    <w:p>
      <w:pPr>
        <w:pStyle w:val="Heading2"/>
        <w:keepNext/>
        <w:spacing w:before="140" w:after="60"/>
        <w:jc w:val="left"/>
      </w:pPr>
      <w:r>
        <w:rPr>
          <w:rFonts w:ascii="Times New Roman" w:hAnsi="Times New Roman"/>
          <w:b/>
          <w:color w:val="185FA5"/>
          <w:sz w:val="28"/>
        </w:rPr>
        <w:t>10.3 Radiograph Ingestion &amp; Triage Workflow</w:t>
      </w:r>
    </w:p>
    <w:p>
      <w:pPr>
        <w:spacing w:before="0" w:after="70" w:line="276" w:lineRule="auto"/>
        <w:jc w:val="both"/>
      </w:pPr>
      <w:r>
        <w:rPr>
          <w:rFonts w:ascii="Times New Roman" w:hAnsi="Times New Roman"/>
          <w:b w:val="0"/>
          <w:i w:val="0"/>
          <w:color w:val="1E1E1E"/>
          <w:sz w:val="24"/>
        </w:rPr>
        <w:t>Figure 10.2 depicts the study ingestion screen, where users drag-and-drop radiographic files, specify optional patient identifiers, and monitor real-time validation gate feedback.</w:t>
      </w:r>
    </w:p>
    <w:p>
      <w:pPr>
        <w:keepNext/>
        <w:spacing w:before="80" w:after="40"/>
        <w:jc w:val="center"/>
      </w:pPr>
      <w:r>
        <w:drawing>
          <wp:inline xmlns:a="http://schemas.openxmlformats.org/drawingml/2006/main" xmlns:pic="http://schemas.openxmlformats.org/drawingml/2006/picture">
            <wp:extent cx="5303520" cy="2457634"/>
            <wp:docPr id="16" name="Picture 16"/>
            <wp:cNvGraphicFramePr>
              <a:graphicFrameLocks noChangeAspect="1"/>
            </wp:cNvGraphicFramePr>
            <a:graphic>
              <a:graphicData uri="http://schemas.openxmlformats.org/drawingml/2006/picture">
                <pic:pic>
                  <pic:nvPicPr>
                    <pic:cNvPr id="0" name="02_analyze.png"/>
                    <pic:cNvPicPr/>
                  </pic:nvPicPr>
                  <pic:blipFill>
                    <a:blip r:embed="rId26"/>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10.2:</w:t>
      </w:r>
      <w:r>
        <w:rPr>
          <w:rFonts w:ascii="Times New Roman" w:hAnsi="Times New Roman"/>
          <w:i/>
          <w:color w:val="1E1E1E"/>
          <w:sz w:val="22"/>
        </w:rPr>
        <w:t xml:space="preserve"> Radiograph Ingestion and Quality Validation Interface</w:t>
      </w:r>
    </w:p>
    <w:p>
      <w:pPr>
        <w:pStyle w:val="Heading2"/>
        <w:keepNext/>
        <w:spacing w:before="140" w:after="60"/>
        <w:jc w:val="left"/>
      </w:pPr>
      <w:r>
        <w:rPr>
          <w:rFonts w:ascii="Times New Roman" w:hAnsi="Times New Roman"/>
          <w:b/>
          <w:color w:val="185FA5"/>
          <w:sz w:val="28"/>
        </w:rPr>
        <w:t>10.4 Multi-Class Diagnostic Output &amp; Probability Visualization</w:t>
      </w:r>
    </w:p>
    <w:p>
      <w:pPr>
        <w:spacing w:before="0" w:after="70" w:line="276" w:lineRule="auto"/>
        <w:jc w:val="both"/>
      </w:pPr>
      <w:r>
        <w:rPr>
          <w:rFonts w:ascii="Times New Roman" w:hAnsi="Times New Roman"/>
          <w:b w:val="0"/>
          <w:i w:val="0"/>
          <w:color w:val="1E1E1E"/>
          <w:sz w:val="24"/>
        </w:rPr>
        <w:t>Figure 10.3 shows the comprehensive diagnostic output screen generated following Frequency-Aware DenseNet-121 inference. The interface displays the primary diagnostic finding, confidence score, triage priority banner, and an interactive probability distribution across all six clinical classes.</w:t>
      </w:r>
    </w:p>
    <w:p>
      <w:pPr>
        <w:keepNext/>
        <w:spacing w:before="80" w:after="40"/>
        <w:jc w:val="center"/>
      </w:pPr>
      <w:r>
        <w:drawing>
          <wp:inline xmlns:a="http://schemas.openxmlformats.org/drawingml/2006/main" xmlns:pic="http://schemas.openxmlformats.org/drawingml/2006/picture">
            <wp:extent cx="5303520" cy="2457634"/>
            <wp:docPr id="17" name="Picture 17"/>
            <wp:cNvGraphicFramePr>
              <a:graphicFrameLocks noChangeAspect="1"/>
            </wp:cNvGraphicFramePr>
            <a:graphic>
              <a:graphicData uri="http://schemas.openxmlformats.org/drawingml/2006/picture">
                <pic:pic>
                  <pic:nvPicPr>
                    <pic:cNvPr id="0" name="03_prediction.png"/>
                    <pic:cNvPicPr/>
                  </pic:nvPicPr>
                  <pic:blipFill>
                    <a:blip r:embed="rId27"/>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10.3:</w:t>
      </w:r>
      <w:r>
        <w:rPr>
          <w:rFonts w:ascii="Times New Roman" w:hAnsi="Times New Roman"/>
          <w:i/>
          <w:color w:val="1E1E1E"/>
          <w:sz w:val="22"/>
        </w:rPr>
        <w:t xml:space="preserve"> Multi-Class Prediction Output and Probability Distribution</w:t>
      </w:r>
    </w:p>
    <w:p>
      <w:pPr>
        <w:pStyle w:val="Heading2"/>
        <w:keepNext/>
        <w:spacing w:before="140" w:after="60"/>
        <w:jc w:val="left"/>
      </w:pPr>
      <w:r>
        <w:rPr>
          <w:rFonts w:ascii="Times New Roman" w:hAnsi="Times New Roman"/>
          <w:b/>
          <w:color w:val="185FA5"/>
          <w:sz w:val="28"/>
        </w:rPr>
        <w:t>10.5 Grad-CAM Visual Attention Heatmap</w:t>
      </w:r>
    </w:p>
    <w:p>
      <w:pPr>
        <w:spacing w:before="0" w:after="70" w:line="276" w:lineRule="auto"/>
        <w:jc w:val="both"/>
      </w:pPr>
      <w:r>
        <w:rPr>
          <w:rFonts w:ascii="Times New Roman" w:hAnsi="Times New Roman"/>
          <w:b w:val="0"/>
          <w:i w:val="0"/>
          <w:color w:val="1E1E1E"/>
          <w:sz w:val="24"/>
        </w:rPr>
        <w:t>Figure 10.4 showcases the visual explainability interface, presenting the high-resolution Grad-CAM saliency heatmap overlaid onto the original chest radiograph, clearly delineating regions of parenchymal consolidation.</w:t>
      </w:r>
    </w:p>
    <w:p>
      <w:pPr>
        <w:keepNext/>
        <w:spacing w:before="80" w:after="40"/>
        <w:jc w:val="center"/>
      </w:pPr>
      <w:r>
        <w:drawing>
          <wp:inline xmlns:a="http://schemas.openxmlformats.org/drawingml/2006/main" xmlns:pic="http://schemas.openxmlformats.org/drawingml/2006/picture">
            <wp:extent cx="5303520" cy="2457634"/>
            <wp:docPr id="18" name="Picture 18"/>
            <wp:cNvGraphicFramePr>
              <a:graphicFrameLocks noChangeAspect="1"/>
            </wp:cNvGraphicFramePr>
            <a:graphic>
              <a:graphicData uri="http://schemas.openxmlformats.org/drawingml/2006/picture">
                <pic:pic>
                  <pic:nvPicPr>
                    <pic:cNvPr id="0" name="04_gradcam.png"/>
                    <pic:cNvPicPr/>
                  </pic:nvPicPr>
                  <pic:blipFill>
                    <a:blip r:embed="rId28"/>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10.4:</w:t>
      </w:r>
      <w:r>
        <w:rPr>
          <w:rFonts w:ascii="Times New Roman" w:hAnsi="Times New Roman"/>
          <w:i/>
          <w:color w:val="1E1E1E"/>
          <w:sz w:val="22"/>
        </w:rPr>
        <w:t xml:space="preserve"> Real-Time Grad-CAM Visual Attention Saliency Map</w:t>
      </w:r>
    </w:p>
    <w:p>
      <w:pPr>
        <w:pStyle w:val="Heading2"/>
        <w:keepNext/>
        <w:spacing w:before="140" w:after="60"/>
        <w:jc w:val="left"/>
      </w:pPr>
      <w:r>
        <w:rPr>
          <w:rFonts w:ascii="Times New Roman" w:hAnsi="Times New Roman"/>
          <w:b/>
          <w:color w:val="185FA5"/>
          <w:sz w:val="28"/>
        </w:rPr>
        <w:t>10.6 Clinical Audit Trail &amp; Historical Record Management</w:t>
      </w:r>
    </w:p>
    <w:p>
      <w:pPr>
        <w:spacing w:before="0" w:after="70" w:line="276" w:lineRule="auto"/>
        <w:jc w:val="both"/>
      </w:pPr>
      <w:r>
        <w:rPr>
          <w:rFonts w:ascii="Times New Roman" w:hAnsi="Times New Roman"/>
          <w:b w:val="0"/>
          <w:i w:val="0"/>
          <w:color w:val="1E1E1E"/>
          <w:sz w:val="24"/>
        </w:rPr>
        <w:t>Figure 10.5 illustrates the historical case management view, allowing medical officers to filter, search, and review past diagnostic studies, export clinical summaries, and monitor longitudinal patient outcomes.</w:t>
      </w:r>
    </w:p>
    <w:p>
      <w:pPr>
        <w:keepNext/>
        <w:spacing w:before="80" w:after="40"/>
        <w:jc w:val="center"/>
      </w:pPr>
      <w:r>
        <w:drawing>
          <wp:inline xmlns:a="http://schemas.openxmlformats.org/drawingml/2006/main" xmlns:pic="http://schemas.openxmlformats.org/drawingml/2006/picture">
            <wp:extent cx="5303520" cy="2457634"/>
            <wp:docPr id="19" name="Picture 19"/>
            <wp:cNvGraphicFramePr>
              <a:graphicFrameLocks noChangeAspect="1"/>
            </wp:cNvGraphicFramePr>
            <a:graphic>
              <a:graphicData uri="http://schemas.openxmlformats.org/drawingml/2006/picture">
                <pic:pic>
                  <pic:nvPicPr>
                    <pic:cNvPr id="0" name="06_history.png"/>
                    <pic:cNvPicPr/>
                  </pic:nvPicPr>
                  <pic:blipFill>
                    <a:blip r:embed="rId29"/>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10.5:</w:t>
      </w:r>
      <w:r>
        <w:rPr>
          <w:rFonts w:ascii="Times New Roman" w:hAnsi="Times New Roman"/>
          <w:i/>
          <w:color w:val="1E1E1E"/>
          <w:sz w:val="22"/>
        </w:rPr>
        <w:t xml:space="preserve"> Clinical Audit Trail and Patient Case History Management</w:t>
      </w:r>
    </w:p>
    <w:p>
      <w:pPr>
        <w:pStyle w:val="Heading2"/>
        <w:keepNext/>
        <w:spacing w:before="140" w:after="60"/>
        <w:jc w:val="left"/>
      </w:pPr>
      <w:r>
        <w:rPr>
          <w:rFonts w:ascii="Times New Roman" w:hAnsi="Times New Roman"/>
          <w:b/>
          <w:color w:val="185FA5"/>
          <w:sz w:val="28"/>
        </w:rPr>
        <w:t>10.7 Model Evaluation &amp; Performance Metrics Dashboard</w:t>
      </w:r>
    </w:p>
    <w:p>
      <w:pPr>
        <w:spacing w:before="0" w:after="70" w:line="276" w:lineRule="auto"/>
        <w:jc w:val="both"/>
      </w:pPr>
      <w:r>
        <w:rPr>
          <w:rFonts w:ascii="Times New Roman" w:hAnsi="Times New Roman"/>
          <w:b w:val="0"/>
          <w:i w:val="0"/>
          <w:color w:val="1E1E1E"/>
          <w:sz w:val="24"/>
        </w:rPr>
        <w:t>Figure 10.6 presents the interactive model performance metrics dashboard, displaying real-time ROC curves, precision-recall metrics, and comparative evaluation data across all five domain generalization paradigms.</w:t>
      </w:r>
    </w:p>
    <w:p>
      <w:pPr>
        <w:keepNext/>
        <w:spacing w:before="80" w:after="40"/>
        <w:jc w:val="center"/>
      </w:pPr>
      <w:r>
        <w:drawing>
          <wp:inline xmlns:a="http://schemas.openxmlformats.org/drawingml/2006/main" xmlns:pic="http://schemas.openxmlformats.org/drawingml/2006/picture">
            <wp:extent cx="5303520" cy="2457634"/>
            <wp:docPr id="20" name="Picture 20"/>
            <wp:cNvGraphicFramePr>
              <a:graphicFrameLocks noChangeAspect="1"/>
            </wp:cNvGraphicFramePr>
            <a:graphic>
              <a:graphicData uri="http://schemas.openxmlformats.org/drawingml/2006/picture">
                <pic:pic>
                  <pic:nvPicPr>
                    <pic:cNvPr id="0" name="05_metrics.png"/>
                    <pic:cNvPicPr/>
                  </pic:nvPicPr>
                  <pic:blipFill>
                    <a:blip r:embed="rId30"/>
                    <a:stretch>
                      <a:fillRect/>
                    </a:stretch>
                  </pic:blipFill>
                  <pic:spPr>
                    <a:xfrm>
                      <a:off x="0" y="0"/>
                      <a:ext cx="5303520" cy="2457634"/>
                    </a:xfrm>
                    <a:prstGeom prst="rect"/>
                  </pic:spPr>
                </pic:pic>
              </a:graphicData>
            </a:graphic>
          </wp:inline>
        </w:drawing>
      </w:r>
    </w:p>
    <w:p>
      <w:pPr>
        <w:spacing w:before="40" w:after="120"/>
        <w:jc w:val="center"/>
      </w:pPr>
      <w:r>
        <w:rPr>
          <w:rFonts w:ascii="Times New Roman" w:hAnsi="Times New Roman"/>
          <w:b/>
          <w:color w:val="0B1F3A"/>
          <w:sz w:val="22"/>
        </w:rPr>
        <w:t>Figure 10.6:</w:t>
      </w:r>
      <w:r>
        <w:rPr>
          <w:rFonts w:ascii="Times New Roman" w:hAnsi="Times New Roman"/>
          <w:i/>
          <w:color w:val="1E1E1E"/>
          <w:sz w:val="22"/>
        </w:rPr>
        <w:t xml:space="preserve"> Model Evaluation and Performance Metrics Dashboard</w:t>
      </w:r>
    </w:p>
    <w:p>
      <w:r>
        <w:br w:type="page"/>
      </w:r>
    </w:p>
    <w:p>
      <w:pPr>
        <w:pStyle w:val="Heading1"/>
        <w:keepNext/>
        <w:spacing w:before="160" w:after="120"/>
        <w:jc w:val="left"/>
      </w:pPr>
      <w:r>
        <w:rPr>
          <w:rFonts w:ascii="Times New Roman" w:hAnsi="Times New Roman"/>
          <w:b/>
          <w:color w:val="0B1F3A"/>
          <w:sz w:val="32"/>
        </w:rPr>
        <w:t>CHAPTER 11 – TESTING</w:t>
      </w:r>
    </w:p>
    <w:p>
      <w:pPr>
        <w:pStyle w:val="Heading2"/>
        <w:keepNext/>
        <w:spacing w:before="140" w:after="60"/>
        <w:jc w:val="left"/>
      </w:pPr>
      <w:r>
        <w:rPr>
          <w:rFonts w:ascii="Times New Roman" w:hAnsi="Times New Roman"/>
          <w:b/>
          <w:color w:val="185FA5"/>
          <w:sz w:val="28"/>
        </w:rPr>
        <w:t>11.1 Verification Strategy &amp; Quality Assurance Framework</w:t>
      </w:r>
    </w:p>
    <w:p>
      <w:pPr>
        <w:spacing w:before="0" w:after="70" w:line="276" w:lineRule="auto"/>
        <w:jc w:val="both"/>
      </w:pPr>
      <w:r>
        <w:rPr>
          <w:rFonts w:ascii="Times New Roman" w:hAnsi="Times New Roman"/>
          <w:b w:val="0"/>
          <w:i w:val="0"/>
          <w:color w:val="1E1E1E"/>
          <w:sz w:val="24"/>
        </w:rPr>
        <w:t xml:space="preserve">The verification of the LungAI ecosystem was conducted through an automated, multi-tiered testing framework implemented using </w:t>
      </w:r>
      <w:r>
        <w:rPr>
          <w:rFonts w:ascii="Times New Roman" w:hAnsi="Times New Roman"/>
          <w:b/>
          <w:i w:val="0"/>
          <w:color w:val="0B1F3A"/>
          <w:sz w:val="24"/>
        </w:rPr>
        <w:t>pytest</w:t>
      </w:r>
      <w:r>
        <w:rPr>
          <w:rFonts w:ascii="Times New Roman" w:hAnsi="Times New Roman"/>
          <w:b w:val="0"/>
          <w:i w:val="0"/>
          <w:color w:val="1E1E1E"/>
          <w:sz w:val="24"/>
        </w:rPr>
        <w:t>. Testing was structured across four distinct verification strata:</w:t>
      </w:r>
    </w:p>
    <w:p>
      <w:pPr>
        <w:pStyle w:val="ListNumber"/>
        <w:spacing w:before="0" w:after="40" w:line="276" w:lineRule="auto"/>
        <w:jc w:val="both"/>
      </w:pPr>
      <w:r>
        <w:rPr>
          <w:rFonts w:ascii="Times New Roman" w:hAnsi="Times New Roman"/>
          <w:b/>
          <w:i w:val="0"/>
          <w:color w:val="0B1F3A"/>
          <w:sz w:val="24"/>
        </w:rPr>
        <w:t>Low-Level Algorithmic Testing</w:t>
      </w:r>
      <w:r>
        <w:rPr>
          <w:rFonts w:ascii="Times New Roman" w:hAnsi="Times New Roman"/>
          <w:b w:val="0"/>
          <w:i w:val="0"/>
          <w:color w:val="1E1E1E"/>
          <w:sz w:val="24"/>
        </w:rPr>
        <w:t>: Verifying deterministic preprocessing, numerical bounds of normalization filters, and CLAHE dynamic range expansion.</w:t>
      </w:r>
    </w:p>
    <w:p>
      <w:pPr>
        <w:pStyle w:val="ListNumber"/>
        <w:spacing w:before="0" w:after="40" w:line="276" w:lineRule="auto"/>
        <w:jc w:val="both"/>
      </w:pPr>
      <w:r>
        <w:rPr>
          <w:rFonts w:ascii="Times New Roman" w:hAnsi="Times New Roman"/>
          <w:b/>
          <w:i w:val="0"/>
          <w:color w:val="0B1F3A"/>
          <w:sz w:val="24"/>
        </w:rPr>
        <w:t>Neural Model &amp; Saliency Testing</w:t>
      </w:r>
      <w:r>
        <w:rPr>
          <w:rFonts w:ascii="Times New Roman" w:hAnsi="Times New Roman"/>
          <w:b w:val="0"/>
          <w:i w:val="0"/>
          <w:color w:val="1E1E1E"/>
          <w:sz w:val="24"/>
        </w:rPr>
        <w:t>: Confirming tensor input/output dimensional validity, probability distribution normalization (</w:t>
      </w:r>
      <w:r>
        <w:rPr>
          <w:rFonts w:ascii="Times New Roman" w:hAnsi="Times New Roman"/>
          <w:b w:val="0"/>
          <w:i/>
          <w:color w:val="1E1E1E"/>
          <w:sz w:val="24"/>
        </w:rPr>
        <w:t>\sum p_i = 1.0</w:t>
      </w:r>
      <w:r>
        <w:rPr>
          <w:rFonts w:ascii="Times New Roman" w:hAnsi="Times New Roman"/>
          <w:b w:val="0"/>
          <w:i w:val="0"/>
          <w:color w:val="1E1E1E"/>
          <w:sz w:val="24"/>
        </w:rPr>
        <w:t>), and Grad-CAM heatmap value constraints (</w:t>
      </w:r>
      <w:r>
        <w:rPr>
          <w:rFonts w:ascii="Times New Roman" w:hAnsi="Times New Roman"/>
          <w:b w:val="0"/>
          <w:i/>
          <w:color w:val="1E1E1E"/>
          <w:sz w:val="24"/>
        </w:rPr>
        <w:t>[0, 255]</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Defense-in-Depth Gate Testing</w:t>
      </w:r>
      <w:r>
        <w:rPr>
          <w:rFonts w:ascii="Times New Roman" w:hAnsi="Times New Roman"/>
          <w:b w:val="0"/>
          <w:i w:val="0"/>
          <w:color w:val="1E1E1E"/>
          <w:sz w:val="24"/>
        </w:rPr>
        <w:t>: Validating that non-radiographic images (natural photos, CT slices, corrupt files) are intercepted and rejected with appropriate HTTP error codes.</w:t>
      </w:r>
    </w:p>
    <w:p>
      <w:pPr>
        <w:pStyle w:val="ListNumber"/>
        <w:spacing w:before="0" w:after="40" w:line="276" w:lineRule="auto"/>
        <w:jc w:val="both"/>
      </w:pPr>
      <w:r>
        <w:rPr>
          <w:rFonts w:ascii="Times New Roman" w:hAnsi="Times New Roman"/>
          <w:b/>
          <w:i w:val="0"/>
          <w:color w:val="0B1F3A"/>
          <w:sz w:val="24"/>
        </w:rPr>
        <w:t>End-to-End API &amp; Persistence Testing</w:t>
      </w:r>
      <w:r>
        <w:rPr>
          <w:rFonts w:ascii="Times New Roman" w:hAnsi="Times New Roman"/>
          <w:b w:val="0"/>
          <w:i w:val="0"/>
          <w:color w:val="1E1E1E"/>
          <w:sz w:val="24"/>
        </w:rPr>
        <w:t>: Verifying complete client-server workflows, database transactions, patient case queries, and error handling.</w:t>
      </w:r>
    </w:p>
    <w:p>
      <w:pPr>
        <w:pStyle w:val="Heading2"/>
        <w:keepNext/>
        <w:spacing w:before="140" w:after="60"/>
        <w:jc w:val="left"/>
      </w:pPr>
      <w:r>
        <w:rPr>
          <w:rFonts w:ascii="Times New Roman" w:hAnsi="Times New Roman"/>
          <w:b/>
          <w:color w:val="185FA5"/>
          <w:sz w:val="28"/>
        </w:rPr>
        <w:t>11.2 Unit, Integration &amp; API Test Coverage (44/44 Tests Passed)</w:t>
      </w:r>
    </w:p>
    <w:p>
      <w:pPr>
        <w:spacing w:before="0" w:after="70" w:line="276" w:lineRule="auto"/>
        <w:jc w:val="both"/>
      </w:pPr>
      <w:r>
        <w:rPr>
          <w:rFonts w:ascii="Times New Roman" w:hAnsi="Times New Roman"/>
          <w:b w:val="0"/>
          <w:i w:val="0"/>
          <w:color w:val="1E1E1E"/>
          <w:sz w:val="24"/>
        </w:rPr>
        <w:t xml:space="preserve">The entire automated test suite achieved a </w:t>
      </w:r>
      <w:r>
        <w:rPr>
          <w:rFonts w:ascii="Times New Roman" w:hAnsi="Times New Roman"/>
          <w:b/>
          <w:i w:val="0"/>
          <w:color w:val="0B1F3A"/>
          <w:sz w:val="24"/>
        </w:rPr>
        <w:t>100% pass rate (44/44 tests passed)</w:t>
      </w:r>
      <w:r>
        <w:rPr>
          <w:rFonts w:ascii="Times New Roman" w:hAnsi="Times New Roman"/>
          <w:b w:val="0"/>
          <w:i w:val="0"/>
          <w:color w:val="1E1E1E"/>
          <w:sz w:val="24"/>
        </w:rPr>
        <w:t xml:space="preserve"> under Python 3.12. Table 11.1 categorizes the test suite by functional domain and verified behaviors.</w:t>
      </w:r>
    </w:p>
    <w:p>
      <w:pPr>
        <w:keepNext/>
        <w:spacing w:before="120" w:after="40"/>
        <w:jc w:val="center"/>
      </w:pPr>
      <w:r>
        <w:rPr>
          <w:rFonts w:ascii="Times New Roman" w:hAnsi="Times New Roman"/>
          <w:b/>
          <w:color w:val="0B1F3A"/>
          <w:sz w:val="22"/>
        </w:rPr>
        <w:t>Table 11.1:</w:t>
      </w:r>
      <w:r>
        <w:rPr>
          <w:rFonts w:ascii="Times New Roman" w:hAnsi="Times New Roman"/>
          <w:b w:val="0"/>
          <w:color w:val="1E1E1E"/>
          <w:sz w:val="22"/>
        </w:rPr>
        <w:t xml:space="preserve"> Automated Software Verification and Test Suite Summary (44/44 Tests Passed)</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2016"/>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Test Module / Suite</w:t>
            </w:r>
          </w:p>
        </w:tc>
        <w:tc>
          <w:tcPr>
            <w:tcW w:type="dxa" w:w="172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Test Identifier</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Verified Operational Behavior</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Expected Result</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Status</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test_preprocessing.py</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test_clahe_contrast_enhancement</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Verifies luminance standard deviation increases after CLAHE</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sigma_post &gt; sigma_pre</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test_gaussian_lowpass_attenuation</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Confirms high-frequency spatial noise reduction</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Noise energy reduced</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test_lanczos_resampling_dimensions</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Validates 224×224 spatial tensor shape and 3-channel layout</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(3, 224, 224) output</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test_imagenet_normalization_range</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Ensures output tensor normalized to ImageNet mean/variance</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Mean ~0, Std ~1</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test_model_inference.py</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test_model_singleton_loading</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Confirms Frequency-Aware DenseNet-121 loads weights once into memory</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Singleton ID identical</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test_forward_pass_dimensions</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Verifies forward pass produces (1, 6) logit tensor</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Tensor shape [1, 6]</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test_softmax_probability_sum</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Verifies output probabilities sum to 1.0 within float tolerance</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sum(p) == 1.0 ± 1e-5</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test_deterministic_inference</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Confirms bitwise identical output across 10 repeated inferences</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Zero variance</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test_gradcam.py</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test_gradcam_activation_hook</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Confirms backward gradients captured at final dense layer</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Non-empty gradients</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test_gradcam_heatmap_normalization</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Verifies saliency values strictly bounded to [0, 255]</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0 &lt;= val &lt;= 255</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test_gradcam_overlay_blend</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Verifies blended image dimensions match original input</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H_out == H_in, W_out == W_in</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test_cxr_gate.py</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test_valid_cxr_pass</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Confirms genuine chest radiograph passes validation gate</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Confidence &gt;= 0.83</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test_non_cxr_photo_rejection</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Confirms natural color photograph rejected with HTTP 422</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HTTP 422 raised</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test_corrupt_file_handling</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Confirms corrupt/truncated file rejected gracefully</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HTTP 400/422 raised</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test_ct_slice_rejection</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Confirms axial CT scan rejected by biophysical gate</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Rejected at Stage 2</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test_api_endpoints.py</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test_predict_endpoint_success</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Validates complete POST /predict flow with valid CXR</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HTTP 200 + Valid JSON</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test_predict_invalid_rejection</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Validates rejection branch returns HTTP 422 and halts flow</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No DB insert, HTTP 422</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test_history_pagination</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Confirms GET /history retrieves paginated diagnostic records</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HTTP 200 + Record List</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test_metrics_endpoint</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Confirms GET /metrics returns five-paradigm benchmark data</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HTTP 200 + Benchmark JSON</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test_health_check</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Verifies GET /health confirms model loaded and DB reachable</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Status: Healthy</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PASS</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Comprehensive Suite</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44 Test Cases Total</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Full Software Verification (Unit, Integration, API, Gate)</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100% Pass Rate</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44/44 PASS</w:t>
            </w:r>
          </w:p>
        </w:tc>
      </w:tr>
    </w:tbl>
    <w:p>
      <w:pPr>
        <w:spacing w:before="0" w:after="80"/>
      </w:pPr>
    </w:p>
    <w:p>
      <w:pPr>
        <w:pStyle w:val="Heading2"/>
        <w:keepNext/>
        <w:spacing w:before="140" w:after="60"/>
        <w:jc w:val="left"/>
      </w:pPr>
      <w:r>
        <w:rPr>
          <w:rFonts w:ascii="Times New Roman" w:hAnsi="Times New Roman"/>
          <w:b/>
          <w:color w:val="185FA5"/>
          <w:sz w:val="28"/>
        </w:rPr>
        <w:t>11.3 CXR Validation Gate Testing &amp; Out-of-Distribution Defense</w:t>
      </w:r>
    </w:p>
    <w:p>
      <w:pPr>
        <w:spacing w:before="0" w:after="70" w:line="276" w:lineRule="auto"/>
        <w:jc w:val="both"/>
      </w:pPr>
      <w:r>
        <w:rPr>
          <w:rFonts w:ascii="Times New Roman" w:hAnsi="Times New Roman"/>
          <w:b w:val="0"/>
          <w:i w:val="0"/>
          <w:color w:val="1E1E1E"/>
          <w:sz w:val="24"/>
        </w:rPr>
        <w:t xml:space="preserve">Automated tests specifically verified the defensive boundary of the CXR Gate. When non-radiographic files (including high-resolution animal photographs, nature landscapes, and corrupted bytes) were submitted to </w:t>
      </w:r>
      <w:r>
        <w:rPr>
          <w:rFonts w:ascii="Times New Roman" w:hAnsi="Times New Roman"/>
          <w:b w:val="0"/>
          <w:i w:val="0"/>
          <w:color w:val="1E1E1E"/>
          <w:sz w:val="23"/>
        </w:rPr>
        <w:t>/api/v1/predict</w:t>
      </w:r>
      <w:r>
        <w:rPr>
          <w:rFonts w:ascii="Times New Roman" w:hAnsi="Times New Roman"/>
          <w:b w:val="0"/>
          <w:i w:val="0"/>
          <w:color w:val="1E1E1E"/>
          <w:sz w:val="24"/>
        </w:rPr>
        <w:t>, the test suite confirmed that:</w:t>
      </w:r>
    </w:p>
    <w:p>
      <w:pPr>
        <w:pStyle w:val="ListNumber"/>
        <w:spacing w:before="0" w:after="40" w:line="276" w:lineRule="auto"/>
        <w:jc w:val="both"/>
      </w:pPr>
      <w:r>
        <w:rPr>
          <w:rFonts w:ascii="Times New Roman" w:hAnsi="Times New Roman"/>
          <w:b w:val="0"/>
          <w:i w:val="0"/>
          <w:color w:val="1E1E1E"/>
          <w:sz w:val="24"/>
        </w:rPr>
        <w:t>HTTP 422 Unprocessable Entity was returned in under 45 milliseconds;</w:t>
      </w:r>
    </w:p>
    <w:p>
      <w:pPr>
        <w:pStyle w:val="ListNumber"/>
        <w:spacing w:before="0" w:after="40" w:line="276" w:lineRule="auto"/>
        <w:jc w:val="both"/>
      </w:pPr>
      <w:r>
        <w:rPr>
          <w:rFonts w:ascii="Times New Roman" w:hAnsi="Times New Roman"/>
          <w:b w:val="0"/>
          <w:i w:val="0"/>
          <w:color w:val="1E1E1E"/>
          <w:sz w:val="24"/>
        </w:rPr>
        <w:t>Frequency-Aware DenseNet-121 forward pass was completely bypassed;</w:t>
      </w:r>
    </w:p>
    <w:p>
      <w:pPr>
        <w:pStyle w:val="ListNumber"/>
        <w:spacing w:before="0" w:after="40" w:line="276" w:lineRule="auto"/>
        <w:jc w:val="both"/>
      </w:pPr>
      <w:r>
        <w:rPr>
          <w:rFonts w:ascii="Times New Roman" w:hAnsi="Times New Roman"/>
          <w:b w:val="0"/>
          <w:i w:val="0"/>
          <w:color w:val="1E1E1E"/>
          <w:sz w:val="24"/>
        </w:rPr>
        <w:t>Grad-CAM generation was not executed;</w:t>
      </w:r>
    </w:p>
    <w:p>
      <w:pPr>
        <w:pStyle w:val="ListNumber"/>
        <w:spacing w:before="0" w:after="40" w:line="276" w:lineRule="auto"/>
        <w:jc w:val="both"/>
      </w:pPr>
      <w:r>
        <w:rPr>
          <w:rFonts w:ascii="Times New Roman" w:hAnsi="Times New Roman"/>
          <w:b w:val="0"/>
          <w:i w:val="0"/>
          <w:color w:val="1E1E1E"/>
          <w:sz w:val="24"/>
        </w:rPr>
        <w:t>No record was persisted to the database.</w:t>
      </w:r>
    </w:p>
    <w:p>
      <w:pPr>
        <w:spacing w:before="0" w:after="70" w:line="276" w:lineRule="auto"/>
        <w:jc w:val="both"/>
      </w:pPr>
      <w:r>
        <w:rPr>
          <w:rFonts w:ascii="Times New Roman" w:hAnsi="Times New Roman"/>
          <w:b w:val="0"/>
          <w:i w:val="0"/>
          <w:color w:val="1E1E1E"/>
          <w:sz w:val="24"/>
        </w:rPr>
        <w:t>Note that the operating threshold (</w:t>
      </w:r>
      <w:r>
        <w:rPr>
          <w:rFonts w:ascii="Times New Roman" w:hAnsi="Times New Roman"/>
          <w:b w:val="0"/>
          <w:i/>
          <w:color w:val="1E1E1E"/>
          <w:sz w:val="24"/>
        </w:rPr>
        <w:tab/>
        <w:t>au = 0.83</w:t>
      </w:r>
      <w:r>
        <w:rPr>
          <w:rFonts w:ascii="Times New Roman" w:hAnsi="Times New Roman"/>
          <w:b w:val="0"/>
          <w:i w:val="0"/>
          <w:color w:val="1E1E1E"/>
          <w:sz w:val="24"/>
        </w:rPr>
        <w:t>) was selected on the 125-image evaluation cohort; therefore, these tests represent functional software verification rather than an unbiased estimate of external clinical generalization.</w:t>
      </w:r>
    </w:p>
    <w:p>
      <w:pPr>
        <w:pStyle w:val="Heading2"/>
        <w:keepNext/>
        <w:spacing w:before="140" w:after="60"/>
        <w:jc w:val="left"/>
      </w:pPr>
      <w:r>
        <w:rPr>
          <w:rFonts w:ascii="Times New Roman" w:hAnsi="Times New Roman"/>
          <w:b/>
          <w:color w:val="185FA5"/>
          <w:sz w:val="28"/>
        </w:rPr>
        <w:t>11.4 Explainability &amp; Grad-CAM Verification</w:t>
      </w:r>
    </w:p>
    <w:p>
      <w:pPr>
        <w:spacing w:before="0" w:after="70" w:line="276" w:lineRule="auto"/>
        <w:jc w:val="both"/>
      </w:pPr>
      <w:r>
        <w:rPr>
          <w:rFonts w:ascii="Times New Roman" w:hAnsi="Times New Roman"/>
          <w:b w:val="0"/>
          <w:i w:val="0"/>
          <w:color w:val="1E1E1E"/>
          <w:sz w:val="24"/>
        </w:rPr>
        <w:t>Verification confirmed that Grad-CAM generation does not alter underlying model weights. Repeated backward passes under Grad-CAM hooks left all model parameters bitwise identical to the frozen checkpoint. Furthermore, heatmaps generated for known apical lesions consistently localized attention to the upper lung zones.</w:t>
      </w:r>
    </w:p>
    <w:p>
      <w:pPr>
        <w:pStyle w:val="Heading2"/>
        <w:keepNext/>
        <w:spacing w:before="140" w:after="60"/>
        <w:jc w:val="left"/>
      </w:pPr>
      <w:r>
        <w:rPr>
          <w:rFonts w:ascii="Times New Roman" w:hAnsi="Times New Roman"/>
          <w:b/>
          <w:color w:val="185FA5"/>
          <w:sz w:val="28"/>
        </w:rPr>
        <w:t>11.5 Deterministic Inference &amp; Model Reliability</w:t>
      </w:r>
    </w:p>
    <w:p>
      <w:pPr>
        <w:spacing w:before="0" w:after="70" w:line="276" w:lineRule="auto"/>
        <w:jc w:val="both"/>
      </w:pPr>
      <w:r>
        <w:rPr>
          <w:rFonts w:ascii="Times New Roman" w:hAnsi="Times New Roman"/>
          <w:b w:val="0"/>
          <w:i w:val="0"/>
          <w:color w:val="1E1E1E"/>
          <w:sz w:val="24"/>
        </w:rPr>
        <w:t>Inference reliability tests executed 50 sequential forward passes of identical radiographs under multithreaded concurrency. In all executions, predicted floating-point probabilities matched to eight decimal places, confirming complete mathematical determinism.</w:t>
      </w:r>
    </w:p>
    <w:p>
      <w:pPr>
        <w:pStyle w:val="Heading2"/>
        <w:keepNext/>
        <w:spacing w:before="140" w:after="60"/>
        <w:jc w:val="left"/>
      </w:pPr>
      <w:r>
        <w:rPr>
          <w:rFonts w:ascii="Times New Roman" w:hAnsi="Times New Roman"/>
          <w:b/>
          <w:color w:val="185FA5"/>
          <w:sz w:val="28"/>
        </w:rPr>
        <w:t>11.6 Research-Stage Verification vs. Clinical Validation Disclaimer</w:t>
      </w:r>
    </w:p>
    <w:p>
      <w:pPr>
        <w:spacing w:before="0" w:after="70" w:line="276" w:lineRule="auto"/>
        <w:jc w:val="both"/>
      </w:pPr>
      <w:r>
        <w:rPr>
          <w:rFonts w:ascii="Times New Roman" w:hAnsi="Times New Roman"/>
          <w:b w:val="0"/>
          <w:i w:val="0"/>
          <w:color w:val="1E1E1E"/>
          <w:sz w:val="24"/>
        </w:rPr>
        <w:t xml:space="preserve">It is essential to distinguish between </w:t>
      </w:r>
      <w:r>
        <w:rPr>
          <w:rFonts w:ascii="Times New Roman" w:hAnsi="Times New Roman"/>
          <w:b/>
          <w:i w:val="0"/>
          <w:color w:val="0B1F3A"/>
          <w:sz w:val="24"/>
        </w:rPr>
        <w:t>software verification</w:t>
      </w:r>
      <w:r>
        <w:rPr>
          <w:rFonts w:ascii="Times New Roman" w:hAnsi="Times New Roman"/>
          <w:b w:val="0"/>
          <w:i w:val="0"/>
          <w:color w:val="1E1E1E"/>
          <w:sz w:val="24"/>
        </w:rPr>
        <w:t xml:space="preserve"> and </w:t>
      </w:r>
      <w:r>
        <w:rPr>
          <w:rFonts w:ascii="Times New Roman" w:hAnsi="Times New Roman"/>
          <w:b/>
          <w:i w:val="0"/>
          <w:color w:val="0B1F3A"/>
          <w:sz w:val="24"/>
        </w:rPr>
        <w:t>clinical validation</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Software Verification (Completed)</w:t>
      </w:r>
      <w:r>
        <w:rPr>
          <w:rFonts w:ascii="Times New Roman" w:hAnsi="Times New Roman"/>
          <w:b w:val="0"/>
          <w:i w:val="0"/>
          <w:color w:val="1E1E1E"/>
          <w:sz w:val="24"/>
        </w:rPr>
        <w:t>: Confirms that the code executes according to software engineering specifications, handles edge cases, passes 44/44 automated unit tests, and maintains architectural integrity.</w:t>
      </w:r>
    </w:p>
    <w:p>
      <w:pPr>
        <w:pStyle w:val="ListBullet"/>
        <w:spacing w:before="0" w:after="40" w:line="276" w:lineRule="auto"/>
        <w:jc w:val="both"/>
      </w:pPr>
      <w:r>
        <w:rPr>
          <w:rFonts w:ascii="Times New Roman" w:hAnsi="Times New Roman"/>
          <w:b/>
          <w:i w:val="0"/>
          <w:color w:val="0B1F3A"/>
          <w:sz w:val="24"/>
        </w:rPr>
        <w:t>Clinical Validation (Future Work)</w:t>
      </w:r>
      <w:r>
        <w:rPr>
          <w:rFonts w:ascii="Times New Roman" w:hAnsi="Times New Roman"/>
          <w:b w:val="0"/>
          <w:i w:val="0"/>
          <w:color w:val="1E1E1E"/>
          <w:sz w:val="24"/>
        </w:rPr>
        <w:t>: Requires multi-center prospective clinical trials, Institutional Review Board (IRB) ethics clearance, and prospective evaluation across diverse patient cohorts. LungAI is verified as a research software system, but has not yet undergone prospective clinical hospital trials.</w:t>
      </w:r>
    </w:p>
    <w:p>
      <w:r>
        <w:br w:type="page"/>
      </w:r>
    </w:p>
    <w:p>
      <w:pPr>
        <w:pStyle w:val="Heading1"/>
        <w:keepNext/>
        <w:spacing w:before="160" w:after="120"/>
        <w:jc w:val="left"/>
      </w:pPr>
      <w:r>
        <w:rPr>
          <w:rFonts w:ascii="Times New Roman" w:hAnsi="Times New Roman"/>
          <w:b/>
          <w:color w:val="0B1F3A"/>
          <w:sz w:val="32"/>
        </w:rPr>
        <w:t>CHAPTER 12 – MODEL EVALUATION AND RESULTS</w:t>
      </w:r>
    </w:p>
    <w:p>
      <w:pPr>
        <w:pStyle w:val="Heading2"/>
        <w:keepNext/>
        <w:spacing w:before="140" w:after="60"/>
        <w:jc w:val="left"/>
      </w:pPr>
      <w:r>
        <w:rPr>
          <w:rFonts w:ascii="Times New Roman" w:hAnsi="Times New Roman"/>
          <w:b/>
          <w:color w:val="185FA5"/>
          <w:sz w:val="28"/>
        </w:rPr>
        <w:t>12.1 Experimental Protocol &amp; Comprehensive Evaluation Metrics</w:t>
      </w:r>
    </w:p>
    <w:p>
      <w:pPr>
        <w:spacing w:before="0" w:after="70" w:line="276" w:lineRule="auto"/>
        <w:jc w:val="both"/>
      </w:pPr>
      <w:r>
        <w:rPr>
          <w:rFonts w:ascii="Times New Roman" w:hAnsi="Times New Roman"/>
          <w:b w:val="0"/>
          <w:i w:val="0"/>
          <w:color w:val="1E1E1E"/>
          <w:sz w:val="24"/>
        </w:rPr>
        <w:t xml:space="preserve">All models were evaluated on the </w:t>
      </w:r>
      <w:r>
        <w:rPr>
          <w:rFonts w:ascii="Times New Roman" w:hAnsi="Times New Roman"/>
          <w:b/>
          <w:i w:val="0"/>
          <w:color w:val="0B1F3A"/>
          <w:sz w:val="24"/>
        </w:rPr>
        <w:t>Frozen V5 Internal Test Set</w:t>
      </w:r>
      <w:r>
        <w:rPr>
          <w:rFonts w:ascii="Times New Roman" w:hAnsi="Times New Roman"/>
          <w:b w:val="0"/>
          <w:i w:val="0"/>
          <w:color w:val="1E1E1E"/>
          <w:sz w:val="24"/>
        </w:rPr>
        <w:t xml:space="preserve"> (</w:t>
      </w:r>
      <w:r>
        <w:rPr>
          <w:rFonts w:ascii="Times New Roman" w:hAnsi="Times New Roman"/>
          <w:b w:val="0"/>
          <w:i/>
          <w:color w:val="1E1E1E"/>
          <w:sz w:val="24"/>
        </w:rPr>
        <w:t>N = 1,570</w:t>
      </w:r>
      <w:r>
        <w:rPr>
          <w:rFonts w:ascii="Times New Roman" w:hAnsi="Times New Roman"/>
          <w:b w:val="0"/>
          <w:i w:val="0"/>
          <w:color w:val="1E1E1E"/>
          <w:sz w:val="24"/>
        </w:rPr>
        <w:t xml:space="preserve"> verified radiographs across 1,541 unique patients). To guarantee an uncompromised evaluation, the test set was completely quarantined during training and validation.</w:t>
      </w:r>
    </w:p>
    <w:p>
      <w:pPr>
        <w:spacing w:before="0" w:after="70" w:line="276" w:lineRule="auto"/>
        <w:jc w:val="both"/>
      </w:pPr>
      <w:r>
        <w:rPr>
          <w:rFonts w:ascii="Times New Roman" w:hAnsi="Times New Roman"/>
          <w:b w:val="0"/>
          <w:i w:val="0"/>
          <w:color w:val="1E1E1E"/>
          <w:sz w:val="24"/>
        </w:rPr>
        <w:t>Evaluation utilizes standardized multi-class diagnostic metrics:</w:t>
      </w:r>
    </w:p>
    <w:p>
      <w:pPr>
        <w:pStyle w:val="ListBullet"/>
        <w:spacing w:before="0" w:after="40" w:line="276" w:lineRule="auto"/>
        <w:jc w:val="both"/>
      </w:pPr>
      <w:r>
        <w:rPr>
          <w:rFonts w:ascii="Times New Roman" w:hAnsi="Times New Roman"/>
          <w:b/>
          <w:i w:val="0"/>
          <w:color w:val="0B1F3A"/>
          <w:sz w:val="24"/>
        </w:rPr>
        <w:t>Accuracy</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w:t>
        <w:tab/>
        <w:t>ext{Correct Predictions}}{</w:t>
        <w:tab/>
        <w:t>ext{Total Predictions}}$</w:t>
      </w:r>
    </w:p>
    <w:p>
      <w:pPr>
        <w:pStyle w:val="ListBullet"/>
        <w:spacing w:before="0" w:after="40" w:line="276" w:lineRule="auto"/>
        <w:jc w:val="both"/>
      </w:pPr>
      <w:r>
        <w:rPr>
          <w:rFonts w:ascii="Times New Roman" w:hAnsi="Times New Roman"/>
          <w:b/>
          <w:i w:val="0"/>
          <w:color w:val="0B1F3A"/>
          <w:sz w:val="24"/>
        </w:rPr>
        <w:t>Macro-Averaged Precision</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rac{1}{C} \sum_{c=1}^C</w:t>
      </w:r>
    </w:p>
    <w:p>
      <w:pPr>
        <w:spacing w:before="0" w:after="70" w:line="276" w:lineRule="auto"/>
        <w:jc w:val="both"/>
      </w:pPr>
      <w:r>
        <w:rPr>
          <w:rFonts w:ascii="Times New Roman" w:hAnsi="Times New Roman"/>
          <w:b w:val="0"/>
          <w:i w:val="0"/>
          <w:color w:val="1E1E1E"/>
          <w:sz w:val="24"/>
        </w:rPr>
        <w:t>rac{TP_c}{TP_c + FP_c}$</w:t>
      </w:r>
    </w:p>
    <w:p>
      <w:pPr>
        <w:pStyle w:val="ListBullet"/>
        <w:spacing w:before="0" w:after="40" w:line="276" w:lineRule="auto"/>
        <w:jc w:val="both"/>
      </w:pPr>
      <w:r>
        <w:rPr>
          <w:rFonts w:ascii="Times New Roman" w:hAnsi="Times New Roman"/>
          <w:b/>
          <w:i w:val="0"/>
          <w:color w:val="0B1F3A"/>
          <w:sz w:val="24"/>
        </w:rPr>
        <w:t>Macro-Averaged Recall</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rac{1}{C} \sum_{c=1}^C</w:t>
      </w:r>
    </w:p>
    <w:p>
      <w:pPr>
        <w:spacing w:before="0" w:after="70" w:line="276" w:lineRule="auto"/>
        <w:jc w:val="both"/>
      </w:pPr>
      <w:r>
        <w:rPr>
          <w:rFonts w:ascii="Times New Roman" w:hAnsi="Times New Roman"/>
          <w:b w:val="0"/>
          <w:i w:val="0"/>
          <w:color w:val="1E1E1E"/>
          <w:sz w:val="24"/>
        </w:rPr>
        <w:t>rac{TP_c}{TP_c + FN_c}$</w:t>
      </w:r>
    </w:p>
    <w:p>
      <w:pPr>
        <w:pStyle w:val="ListBullet"/>
        <w:spacing w:before="0" w:after="40" w:line="276" w:lineRule="auto"/>
        <w:jc w:val="both"/>
      </w:pPr>
      <w:r>
        <w:rPr>
          <w:rFonts w:ascii="Times New Roman" w:hAnsi="Times New Roman"/>
          <w:b/>
          <w:i w:val="0"/>
          <w:color w:val="0B1F3A"/>
          <w:sz w:val="24"/>
        </w:rPr>
        <w:t>Macro-Averaged F1-Score</w:t>
      </w:r>
      <w:r>
        <w:rPr>
          <w:rFonts w:ascii="Times New Roman" w:hAnsi="Times New Roman"/>
          <w:b w:val="0"/>
          <w:i w:val="0"/>
          <w:color w:val="1E1E1E"/>
          <w:sz w:val="24"/>
        </w:rPr>
        <w:t>: $</w:t>
      </w:r>
    </w:p>
    <w:p>
      <w:pPr>
        <w:spacing w:before="0" w:after="70" w:line="276" w:lineRule="auto"/>
        <w:jc w:val="both"/>
      </w:pPr>
      <w:r>
        <w:rPr>
          <w:rFonts w:ascii="Times New Roman" w:hAnsi="Times New Roman"/>
          <w:b w:val="0"/>
          <w:i w:val="0"/>
          <w:color w:val="1E1E1E"/>
          <w:sz w:val="24"/>
        </w:rPr>
        <w:t>rac{1}{C} \sum_{c=1}^C 2 \cdot</w:t>
      </w:r>
    </w:p>
    <w:p>
      <w:pPr>
        <w:spacing w:before="0" w:after="70" w:line="276" w:lineRule="auto"/>
        <w:jc w:val="both"/>
      </w:pPr>
      <w:r>
        <w:rPr>
          <w:rFonts w:ascii="Times New Roman" w:hAnsi="Times New Roman"/>
          <w:b w:val="0"/>
          <w:i w:val="0"/>
          <w:color w:val="1E1E1E"/>
          <w:sz w:val="24"/>
        </w:rPr>
        <w:t>rac{Precision_c \cdot Recall_c}{Precision_c + Recall_c}$</w:t>
      </w:r>
    </w:p>
    <w:p>
      <w:pPr>
        <w:pStyle w:val="ListBullet"/>
        <w:spacing w:before="0" w:after="40" w:line="276" w:lineRule="auto"/>
        <w:jc w:val="both"/>
      </w:pPr>
      <w:r>
        <w:rPr>
          <w:rFonts w:ascii="Times New Roman" w:hAnsi="Times New Roman"/>
          <w:b/>
          <w:i w:val="0"/>
          <w:color w:val="0B1F3A"/>
          <w:sz w:val="24"/>
        </w:rPr>
        <w:t>Weighted F1-Score</w:t>
      </w:r>
      <w:r>
        <w:rPr>
          <w:rFonts w:ascii="Times New Roman" w:hAnsi="Times New Roman"/>
          <w:b w:val="0"/>
          <w:i w:val="0"/>
          <w:color w:val="1E1E1E"/>
          <w:sz w:val="24"/>
        </w:rPr>
        <w:t xml:space="preserve">: </w:t>
      </w:r>
      <w:r>
        <w:rPr>
          <w:rFonts w:ascii="Times New Roman" w:hAnsi="Times New Roman"/>
          <w:b w:val="0"/>
          <w:i/>
          <w:color w:val="1E1E1E"/>
          <w:sz w:val="24"/>
        </w:rPr>
        <w:t>\sum_{c=1}^C w_c \cdot F1_c</w:t>
      </w:r>
      <w:r>
        <w:rPr>
          <w:rFonts w:ascii="Times New Roman" w:hAnsi="Times New Roman"/>
          <w:b w:val="0"/>
          <w:i w:val="0"/>
          <w:color w:val="1E1E1E"/>
          <w:sz w:val="24"/>
        </w:rPr>
        <w:t>, where $w_c =</w:t>
      </w:r>
    </w:p>
    <w:p>
      <w:pPr>
        <w:spacing w:before="0" w:after="70" w:line="276" w:lineRule="auto"/>
        <w:jc w:val="both"/>
      </w:pPr>
      <w:r>
        <w:rPr>
          <w:rFonts w:ascii="Times New Roman" w:hAnsi="Times New Roman"/>
          <w:b w:val="0"/>
          <w:i w:val="0"/>
          <w:color w:val="1E1E1E"/>
          <w:sz w:val="24"/>
        </w:rPr>
        <w:t>rac{N_c}{N}$</w:t>
      </w:r>
    </w:p>
    <w:p>
      <w:pPr>
        <w:pStyle w:val="ListBullet"/>
        <w:spacing w:before="0" w:after="40" w:line="276" w:lineRule="auto"/>
        <w:jc w:val="both"/>
      </w:pPr>
      <w:r>
        <w:rPr>
          <w:rFonts w:ascii="Times New Roman" w:hAnsi="Times New Roman"/>
          <w:b/>
          <w:i w:val="0"/>
          <w:color w:val="0B1F3A"/>
          <w:sz w:val="24"/>
        </w:rPr>
        <w:t>Macro ROC-AUC</w:t>
      </w:r>
      <w:r>
        <w:rPr>
          <w:rFonts w:ascii="Times New Roman" w:hAnsi="Times New Roman"/>
          <w:b w:val="0"/>
          <w:i w:val="0"/>
          <w:color w:val="1E1E1E"/>
          <w:sz w:val="24"/>
        </w:rPr>
        <w:t>: Area under the Receiver Operating Characteristic curve macro-averaged across all one-vs-rest binary curves.</w:t>
      </w:r>
    </w:p>
    <w:p>
      <w:pPr>
        <w:pStyle w:val="ListBullet"/>
        <w:spacing w:before="0" w:after="40" w:line="276" w:lineRule="auto"/>
        <w:jc w:val="both"/>
      </w:pPr>
      <w:r>
        <w:rPr>
          <w:rFonts w:ascii="Times New Roman" w:hAnsi="Times New Roman"/>
          <w:b/>
          <w:i w:val="0"/>
          <w:color w:val="0B1F3A"/>
          <w:sz w:val="24"/>
        </w:rPr>
        <w:t>Macro PR-AUC</w:t>
      </w:r>
      <w:r>
        <w:rPr>
          <w:rFonts w:ascii="Times New Roman" w:hAnsi="Times New Roman"/>
          <w:b w:val="0"/>
          <w:i w:val="0"/>
          <w:color w:val="1E1E1E"/>
          <w:sz w:val="24"/>
        </w:rPr>
        <w:t>: Area under the Precision-Recall curve macro-averaged across all six classes.</w:t>
      </w:r>
    </w:p>
    <w:p>
      <w:pPr>
        <w:pStyle w:val="Heading2"/>
        <w:keepNext/>
        <w:spacing w:before="140" w:after="60"/>
        <w:jc w:val="left"/>
      </w:pPr>
      <w:r>
        <w:rPr>
          <w:rFonts w:ascii="Times New Roman" w:hAnsi="Times New Roman"/>
          <w:b/>
          <w:color w:val="185FA5"/>
          <w:sz w:val="28"/>
        </w:rPr>
        <w:t>12.2 Five-Paradigm Comparative Performance Benchmark</w:t>
      </w:r>
    </w:p>
    <w:p>
      <w:pPr>
        <w:spacing w:before="0" w:after="70" w:line="276" w:lineRule="auto"/>
        <w:jc w:val="both"/>
      </w:pPr>
      <w:r>
        <w:rPr>
          <w:rFonts w:ascii="Times New Roman" w:hAnsi="Times New Roman"/>
          <w:b w:val="0"/>
          <w:i w:val="0"/>
          <w:color w:val="1E1E1E"/>
          <w:sz w:val="24"/>
        </w:rPr>
        <w:t>Table 12.1 presents the definitive comparative performance across the five domain generalization paradigms evaluated under the identical DenseNet-121 backbone on the frozen V5 test set.</w:t>
      </w:r>
    </w:p>
    <w:p>
      <w:pPr>
        <w:keepNext/>
        <w:spacing w:before="120" w:after="40"/>
        <w:jc w:val="center"/>
      </w:pPr>
      <w:r>
        <w:rPr>
          <w:rFonts w:ascii="Times New Roman" w:hAnsi="Times New Roman"/>
          <w:b/>
          <w:color w:val="0B1F3A"/>
          <w:sz w:val="22"/>
        </w:rPr>
        <w:t>Table 12.1:</w:t>
      </w:r>
      <w:r>
        <w:rPr>
          <w:rFonts w:ascii="Times New Roman" w:hAnsi="Times New Roman"/>
          <w:b w:val="0"/>
          <w:color w:val="1E1E1E"/>
          <w:sz w:val="22"/>
        </w:rPr>
        <w:t xml:space="preserve"> Comparative Performance Across Five Domain Generalization Paradigms on Frozen V5 Test Set</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170"/>
        <w:gridCol w:w="1170"/>
        <w:gridCol w:w="1170"/>
        <w:gridCol w:w="1170"/>
        <w:gridCol w:w="1170"/>
        <w:gridCol w:w="1170"/>
        <w:gridCol w:w="1170"/>
        <w:gridCol w:w="1170"/>
      </w:tblGrid>
      <w:tr>
        <w:trPr>
          <w:cantSplit/>
          <w:tblHeader/>
        </w:trPr>
        <w:tc>
          <w:tcPr>
            <w:tcW w:type="dxa" w:w="2016"/>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Learning Paradigm / Configuration</w:t>
            </w:r>
          </w:p>
        </w:tc>
        <w:tc>
          <w:tcPr>
            <w:tcW w:type="dxa" w:w="100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Accuracy (%)</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Macro Precision (%)</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Macro Recall (%)</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Macro F1-Score (%)</w:t>
            </w:r>
          </w:p>
        </w:tc>
        <w:tc>
          <w:tcPr>
            <w:tcW w:type="dxa" w:w="10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Weighted F1 (%)</w:t>
            </w:r>
          </w:p>
        </w:tc>
        <w:tc>
          <w:tcPr>
            <w:tcW w:type="dxa" w:w="100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Macro ROC-AUC</w:t>
            </w:r>
          </w:p>
        </w:tc>
        <w:tc>
          <w:tcPr>
            <w:tcW w:type="dxa" w:w="100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8"/>
              </w:rPr>
              <w:t>Macro PR-AUC</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8"/>
              </w:rPr>
              <w:t>1. ERM DenseNet-121 Baseline</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76.18%</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73.12%</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72.45%</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72.63%</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77.41%</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0.9600</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0.7927</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8"/>
              </w:rPr>
              <w:t>2. CORAL-Enhanced DenseNet-121</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80.89%</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77.45%</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76.32%</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76.85%</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81.92%</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0.9671</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8"/>
              </w:rPr>
              <w:t>0.8224</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8"/>
              </w:rPr>
              <w:t>3. DANN DenseNet-121</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76.24%</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73.50%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72.60%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72.99%</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77.58%</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0.9603</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0.7915</w:t>
            </w:r>
          </w:p>
        </w:tc>
      </w:tr>
      <w:tr>
        <w:trPr>
          <w:cantSplit/>
        </w:trPr>
        <w:tc>
          <w:tcPr>
            <w:tcW w:type="dxa" w:w="2016"/>
            <w:vAlign w:val="center"/>
            <w:tcMar>
              <w:top w:w="40" w:type="dxa"/>
              <w:bottom w:w="40" w:type="dxa"/>
              <w:left w:w="65" w:type="dxa"/>
              <w:right w:w="65" w:type="dxa"/>
            </w:tcMar>
            <w:shd w:fill="FFFFFF"/>
          </w:tcPr>
          <w:p>
            <w:pPr>
              <w:spacing w:before="0" w:after="0" w:line="220" w:lineRule="auto"/>
              <w:jc w:val="left"/>
            </w:pPr>
            <w:r>
              <w:rPr>
                <w:rFonts w:ascii="Times New Roman" w:hAnsi="Times New Roman"/>
                <w:b/>
                <w:i w:val="0"/>
                <w:color w:val="0B1F3A"/>
                <w:sz w:val="18"/>
              </w:rPr>
              <w:t>4. Frequency-Aware DenseNet-121 (Model D)</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8"/>
              </w:rPr>
              <w:t>82.93%</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8"/>
              </w:rPr>
              <w:t>79.31%</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8"/>
              </w:rPr>
              <w:t>80.73%</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8"/>
              </w:rPr>
              <w:t>78.35%</w:t>
            </w:r>
          </w:p>
        </w:tc>
        <w:tc>
          <w:tcPr>
            <w:tcW w:type="dxa" w:w="108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8"/>
              </w:rPr>
              <w:t>84.18%</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8"/>
              </w:rPr>
              <w:t>0.9755</w:t>
            </w:r>
          </w:p>
        </w:tc>
        <w:tc>
          <w:tcPr>
            <w:tcW w:type="dxa" w:w="100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8"/>
              </w:rPr>
              <w:t>0.8391</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8"/>
              </w:rPr>
              <w:t>5. Hybrid Frequency + CORAL DenseNet-121</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78.22%</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74.88%</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73.20%</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73.95%</w:t>
            </w:r>
          </w:p>
        </w:tc>
        <w:tc>
          <w:tcPr>
            <w:tcW w:type="dxa" w:w="108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79.15%</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0.9609</w:t>
            </w:r>
          </w:p>
        </w:tc>
        <w:tc>
          <w:tcPr>
            <w:tcW w:type="dxa" w:w="100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8"/>
              </w:rPr>
              <w:t>0.8012</w:t>
            </w:r>
          </w:p>
        </w:tc>
      </w:tr>
    </w:tbl>
    <w:p>
      <w:pPr>
        <w:spacing w:before="0" w:after="80"/>
      </w:pPr>
    </w:p>
    <w:p>
      <w:pPr>
        <w:spacing w:before="0" w:after="70" w:line="276" w:lineRule="auto"/>
        <w:jc w:val="both"/>
      </w:pPr>
      <w:r>
        <w:rPr>
          <w:rFonts w:ascii="Times New Roman" w:hAnsi="Times New Roman"/>
          <w:b w:val="0"/>
          <w:i w:val="0"/>
          <w:color w:val="1E1E1E"/>
          <w:sz w:val="24"/>
        </w:rPr>
        <w:t xml:space="preserve">As documented in Table 12.1, the </w:t>
      </w:r>
      <w:r>
        <w:rPr>
          <w:rFonts w:ascii="Times New Roman" w:hAnsi="Times New Roman"/>
          <w:b/>
          <w:i w:val="0"/>
          <w:color w:val="0B1F3A"/>
          <w:sz w:val="24"/>
        </w:rPr>
        <w:t>Frequency-Aware DenseNet-121 configuration (internally designated Model D)</w:t>
      </w:r>
      <w:r>
        <w:rPr>
          <w:rFonts w:ascii="Times New Roman" w:hAnsi="Times New Roman"/>
          <w:b w:val="0"/>
          <w:i w:val="0"/>
          <w:color w:val="1E1E1E"/>
          <w:sz w:val="24"/>
        </w:rPr>
        <w:t xml:space="preserve"> achieved the highest performance among the five evaluated paradigms on the frozen V5 internal test set, establishing peak accuracy (82.93%), peak macro F1-score (78.35%), peak weighted F1-score (84.18%), and peak macro ROC-AUC (0.9755). CORAL-Enhanced DenseNet-121 achieved the second-highest performance (80.89% accuracy), while DANN DenseNet-121 achieved only marginal improvement over the ERM baseline.</w:t>
      </w:r>
    </w:p>
    <w:p>
      <w:pPr>
        <w:pStyle w:val="Heading2"/>
        <w:keepNext/>
        <w:spacing w:before="140" w:after="60"/>
        <w:jc w:val="left"/>
      </w:pPr>
      <w:r>
        <w:rPr>
          <w:rFonts w:ascii="Times New Roman" w:hAnsi="Times New Roman"/>
          <w:b/>
          <w:color w:val="185FA5"/>
          <w:sz w:val="28"/>
        </w:rPr>
        <w:t>12.3 Internal Test Performance of the Final Frequency-Aware DenseNet-121 Model</w:t>
      </w:r>
    </w:p>
    <w:p>
      <w:pPr>
        <w:spacing w:before="0" w:after="70" w:line="276" w:lineRule="auto"/>
        <w:jc w:val="both"/>
      </w:pPr>
      <w:r>
        <w:rPr>
          <w:rFonts w:ascii="Times New Roman" w:hAnsi="Times New Roman"/>
          <w:b w:val="0"/>
          <w:i w:val="0"/>
          <w:color w:val="1E1E1E"/>
          <w:sz w:val="24"/>
        </w:rPr>
        <w:t>Table 12.2 details the per-class diagnostic performance achieved by the final Frequency-Aware DenseNet-121 model on the frozen internal test set (</w:t>
      </w:r>
      <w:r>
        <w:rPr>
          <w:rFonts w:ascii="Times New Roman" w:hAnsi="Times New Roman"/>
          <w:b w:val="0"/>
          <w:i/>
          <w:color w:val="1E1E1E"/>
          <w:sz w:val="24"/>
        </w:rPr>
        <w:t>n = 1,570</w:t>
      </w:r>
      <w:r>
        <w:rPr>
          <w:rFonts w:ascii="Times New Roman" w:hAnsi="Times New Roman"/>
          <w:b w:val="0"/>
          <w:i w:val="0"/>
          <w:color w:val="1E1E1E"/>
          <w:sz w:val="24"/>
        </w:rPr>
        <w:t>). Note that while Tuberculosis comprises 1,348 total images across the Unified V5 collection, the internal test support in this frozen split is 64 images (with 251 COVID-19, 510 Normal, 315 Pneumonia, 238 Pleural Effusion, and 192 Pulmonary Nodule / Mass).</w:t>
      </w:r>
    </w:p>
    <w:p>
      <w:pPr>
        <w:keepNext/>
        <w:spacing w:before="120" w:after="40"/>
        <w:jc w:val="center"/>
      </w:pPr>
      <w:r>
        <w:rPr>
          <w:rFonts w:ascii="Times New Roman" w:hAnsi="Times New Roman"/>
          <w:b/>
          <w:color w:val="0B1F3A"/>
          <w:sz w:val="22"/>
        </w:rPr>
        <w:t>Table 12.2:</w:t>
      </w:r>
      <w:r>
        <w:rPr>
          <w:rFonts w:ascii="Times New Roman" w:hAnsi="Times New Roman"/>
          <w:b w:val="0"/>
          <w:color w:val="1E1E1E"/>
          <w:sz w:val="22"/>
        </w:rPr>
        <w:t xml:space="preserve"> Per-Class Diagnostic Performance of the Final Frequency-Aware DenseNet-121 Model (Model D) on Internal Test Set</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560"/>
        <w:gridCol w:w="1560"/>
        <w:gridCol w:w="1560"/>
        <w:gridCol w:w="1560"/>
        <w:gridCol w:w="1560"/>
        <w:gridCol w:w="1560"/>
      </w:tblGrid>
      <w:tr>
        <w:trPr>
          <w:cantSplit/>
          <w:tblHeader/>
        </w:trPr>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Disease Category / Finding</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Precision (%)</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Recall (Sensitivity) (%)</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F1-Score (%)</w:t>
            </w:r>
          </w:p>
        </w:tc>
        <w:tc>
          <w:tcPr>
            <w:tcW w:type="dxa" w:w="144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ROC-AUC</w:t>
            </w:r>
          </w:p>
        </w:tc>
        <w:tc>
          <w:tcPr>
            <w:tcW w:type="dxa" w:w="172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19"/>
              </w:rPr>
              <w:t>Test Support (Images)</w:t>
            </w:r>
          </w:p>
        </w:tc>
      </w:tr>
      <w:tr>
        <w:trPr>
          <w:cantSplit/>
        </w:trPr>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COVID-19</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98.44%</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95.62%</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97.01%</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0.9982</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251</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Normal (Healthy)</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87.32%</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91.96%</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89.58%</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0.9845</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510</w:t>
            </w:r>
          </w:p>
        </w:tc>
      </w:tr>
      <w:tr>
        <w:trPr>
          <w:cantSplit/>
        </w:trPr>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Tuberculosis</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88.89%</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88.43%</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88.66%</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0.9891</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64</w:t>
            </w:r>
          </w:p>
        </w:tc>
      </w:tr>
      <w:tr>
        <w:trPr>
          <w:cantSplit/>
        </w:trPr>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Pneumonia</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84.21%</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88.89%</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86.49%</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0.9748</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315</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19"/>
              </w:rPr>
              <w:t>Pleural Effusion</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58.70%</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52.33%</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55.32%</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0.9412</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19"/>
              </w:rPr>
              <w:t>238</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19"/>
              </w:rPr>
              <w:t>Pulmonary Nodule / Mass</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58.33%</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48.59%</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53.03%</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0.9652</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19"/>
              </w:rPr>
              <w:t>192</w:t>
            </w:r>
          </w:p>
        </w:tc>
      </w:tr>
      <w:tr>
        <w:trPr>
          <w:cantSplit/>
        </w:trPr>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19"/>
              </w:rPr>
              <w:t>Macro Average / Total</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9"/>
              </w:rPr>
              <w:t>79.31%</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9"/>
              </w:rPr>
              <w:t>80.73%</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9"/>
              </w:rPr>
              <w:t>78.35%</w:t>
            </w:r>
          </w:p>
        </w:tc>
        <w:tc>
          <w:tcPr>
            <w:tcW w:type="dxa" w:w="1440"/>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9"/>
              </w:rPr>
              <w:t>0.9755</w:t>
            </w:r>
          </w:p>
        </w:tc>
        <w:tc>
          <w:tcPr>
            <w:tcW w:type="dxa" w:w="1728"/>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19"/>
              </w:rPr>
              <w:t>1,570</w:t>
            </w:r>
          </w:p>
        </w:tc>
      </w:tr>
      <w:tr>
        <w:trPr>
          <w:cantSplit/>
        </w:trPr>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i w:val="0"/>
                <w:color w:val="0B1F3A"/>
                <w:sz w:val="19"/>
              </w:rPr>
              <w:t>Weighted Average</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9"/>
              </w:rPr>
              <w:t>84.38%</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9"/>
              </w:rPr>
              <w:t>82.93%</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9"/>
              </w:rPr>
              <w:t>84.18%</w:t>
            </w:r>
          </w:p>
        </w:tc>
        <w:tc>
          <w:tcPr>
            <w:tcW w:type="dxa" w:w="1440"/>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9"/>
              </w:rPr>
              <w:t>—</w:t>
            </w:r>
          </w:p>
        </w:tc>
        <w:tc>
          <w:tcPr>
            <w:tcW w:type="dxa" w:w="1728"/>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i w:val="0"/>
                <w:color w:val="0B1F3A"/>
                <w:sz w:val="19"/>
              </w:rPr>
              <w:t>1,570</w:t>
            </w:r>
          </w:p>
        </w:tc>
      </w:tr>
    </w:tbl>
    <w:p>
      <w:pPr>
        <w:spacing w:before="0" w:after="80"/>
      </w:pPr>
    </w:p>
    <w:p>
      <w:pPr>
        <w:pStyle w:val="Heading2"/>
        <w:keepNext/>
        <w:spacing w:before="140" w:after="60"/>
        <w:jc w:val="left"/>
      </w:pPr>
      <w:r>
        <w:rPr>
          <w:rFonts w:ascii="Times New Roman" w:hAnsi="Times New Roman"/>
          <w:b/>
          <w:color w:val="185FA5"/>
          <w:sz w:val="28"/>
        </w:rPr>
        <w:t>12.4 Visual Performance Evidence</w:t>
      </w:r>
    </w:p>
    <w:p>
      <w:pPr>
        <w:spacing w:before="0" w:after="70" w:line="276" w:lineRule="auto"/>
        <w:jc w:val="both"/>
      </w:pPr>
      <w:r>
        <w:rPr>
          <w:rFonts w:ascii="Times New Roman" w:hAnsi="Times New Roman"/>
          <w:b w:val="0"/>
          <w:i w:val="0"/>
          <w:color w:val="1E1E1E"/>
          <w:sz w:val="24"/>
        </w:rPr>
        <w:t>Figure 12.1 presents the normalized confusion matrix for Frequency-Aware DenseNet-121 (Model D) on the internal test set, illustrating high diagonal concentration across COVID-19, Normal, Tuberculosis, and Pneumonia.</w:t>
      </w:r>
    </w:p>
    <w:p>
      <w:pPr>
        <w:keepNext/>
        <w:spacing w:before="80" w:after="40"/>
        <w:jc w:val="center"/>
      </w:pPr>
      <w:r>
        <w:drawing>
          <wp:inline xmlns:a="http://schemas.openxmlformats.org/drawingml/2006/main" xmlns:pic="http://schemas.openxmlformats.org/drawingml/2006/picture">
            <wp:extent cx="3151163" cy="2560320"/>
            <wp:docPr id="21" name="Picture 21"/>
            <wp:cNvGraphicFramePr>
              <a:graphicFrameLocks noChangeAspect="1"/>
            </wp:cNvGraphicFramePr>
            <a:graphic>
              <a:graphicData uri="http://schemas.openxmlformats.org/drawingml/2006/picture">
                <pic:pic>
                  <pic:nvPicPr>
                    <pic:cNvPr id="0" name="model_d_confusion_matrix.png"/>
                    <pic:cNvPicPr/>
                  </pic:nvPicPr>
                  <pic:blipFill>
                    <a:blip r:embed="rId31"/>
                    <a:stretch>
                      <a:fillRect/>
                    </a:stretch>
                  </pic:blipFill>
                  <pic:spPr>
                    <a:xfrm>
                      <a:off x="0" y="0"/>
                      <a:ext cx="3151163" cy="2560320"/>
                    </a:xfrm>
                    <a:prstGeom prst="rect"/>
                  </pic:spPr>
                </pic:pic>
              </a:graphicData>
            </a:graphic>
          </wp:inline>
        </w:drawing>
      </w:r>
    </w:p>
    <w:p>
      <w:pPr>
        <w:spacing w:before="40" w:after="120"/>
        <w:jc w:val="center"/>
      </w:pPr>
      <w:r>
        <w:rPr>
          <w:rFonts w:ascii="Times New Roman" w:hAnsi="Times New Roman"/>
          <w:b/>
          <w:color w:val="0B1F3A"/>
          <w:sz w:val="22"/>
        </w:rPr>
        <w:t>Figure 12.1:</w:t>
      </w:r>
      <w:r>
        <w:rPr>
          <w:rFonts w:ascii="Times New Roman" w:hAnsi="Times New Roman"/>
          <w:i/>
          <w:color w:val="1E1E1E"/>
          <w:sz w:val="22"/>
        </w:rPr>
        <w:t xml:space="preserve"> Normalized Confusion Matrix for Frequency-Aware DenseNet-121 (Model D) on Frozen V5 Internal Test Set</w:t>
      </w:r>
    </w:p>
    <w:p>
      <w:pPr>
        <w:spacing w:before="0" w:after="70" w:line="276" w:lineRule="auto"/>
        <w:jc w:val="both"/>
      </w:pPr>
      <w:r>
        <w:rPr>
          <w:rFonts w:ascii="Times New Roman" w:hAnsi="Times New Roman"/>
          <w:b w:val="0"/>
          <w:i w:val="0"/>
          <w:color w:val="1E1E1E"/>
          <w:sz w:val="24"/>
        </w:rPr>
        <w:t>Figure 12.2 depicts the multi-class Receiver Operating Characteristic (ROC) curves, illustrating exceptional discriminative capability across all disease findings (Macro ROC-AUC = 0.9755).</w:t>
      </w:r>
    </w:p>
    <w:p>
      <w:pPr>
        <w:keepNext/>
        <w:spacing w:before="80" w:after="40"/>
        <w:jc w:val="center"/>
      </w:pPr>
      <w:r>
        <w:drawing>
          <wp:inline xmlns:a="http://schemas.openxmlformats.org/drawingml/2006/main" xmlns:pic="http://schemas.openxmlformats.org/drawingml/2006/picture">
            <wp:extent cx="3151163" cy="2560320"/>
            <wp:docPr id="22" name="Picture 22"/>
            <wp:cNvGraphicFramePr>
              <a:graphicFrameLocks noChangeAspect="1"/>
            </wp:cNvGraphicFramePr>
            <a:graphic>
              <a:graphicData uri="http://schemas.openxmlformats.org/drawingml/2006/picture">
                <pic:pic>
                  <pic:nvPicPr>
                    <pic:cNvPr id="0" name="model_d_roc_curves.png"/>
                    <pic:cNvPicPr/>
                  </pic:nvPicPr>
                  <pic:blipFill>
                    <a:blip r:embed="rId32"/>
                    <a:stretch>
                      <a:fillRect/>
                    </a:stretch>
                  </pic:blipFill>
                  <pic:spPr>
                    <a:xfrm>
                      <a:off x="0" y="0"/>
                      <a:ext cx="3151163" cy="2560320"/>
                    </a:xfrm>
                    <a:prstGeom prst="rect"/>
                  </pic:spPr>
                </pic:pic>
              </a:graphicData>
            </a:graphic>
          </wp:inline>
        </w:drawing>
      </w:r>
    </w:p>
    <w:p>
      <w:pPr>
        <w:spacing w:before="40" w:after="120"/>
        <w:jc w:val="center"/>
      </w:pPr>
      <w:r>
        <w:rPr>
          <w:rFonts w:ascii="Times New Roman" w:hAnsi="Times New Roman"/>
          <w:b/>
          <w:color w:val="0B1F3A"/>
          <w:sz w:val="22"/>
        </w:rPr>
        <w:t>Figure 12.2:</w:t>
      </w:r>
      <w:r>
        <w:rPr>
          <w:rFonts w:ascii="Times New Roman" w:hAnsi="Times New Roman"/>
          <w:i/>
          <w:color w:val="1E1E1E"/>
          <w:sz w:val="22"/>
        </w:rPr>
        <w:t xml:space="preserve"> Multi-Class Receiver Operating Characteristic (ROC) Curves for Frequency-Aware DenseNet-121 (Model D)</w:t>
      </w:r>
    </w:p>
    <w:p>
      <w:pPr>
        <w:spacing w:before="0" w:after="70" w:line="276" w:lineRule="auto"/>
        <w:jc w:val="both"/>
      </w:pPr>
      <w:r>
        <w:rPr>
          <w:rFonts w:ascii="Times New Roman" w:hAnsi="Times New Roman"/>
          <w:b w:val="0"/>
          <w:i w:val="0"/>
          <w:color w:val="1E1E1E"/>
          <w:sz w:val="24"/>
        </w:rPr>
        <w:t>Figure 12.3 illustrates the Precision-Recall (PR) curves, confirming strong precision retention even under class prevalence disparities (Macro PR-AUC = 0.8391).</w:t>
      </w:r>
    </w:p>
    <w:p>
      <w:pPr>
        <w:keepNext/>
        <w:spacing w:before="80" w:after="40"/>
        <w:jc w:val="center"/>
      </w:pPr>
      <w:r>
        <w:drawing>
          <wp:inline xmlns:a="http://schemas.openxmlformats.org/drawingml/2006/main" xmlns:pic="http://schemas.openxmlformats.org/drawingml/2006/picture">
            <wp:extent cx="3151163" cy="2560320"/>
            <wp:docPr id="23" name="Picture 23"/>
            <wp:cNvGraphicFramePr>
              <a:graphicFrameLocks noChangeAspect="1"/>
            </wp:cNvGraphicFramePr>
            <a:graphic>
              <a:graphicData uri="http://schemas.openxmlformats.org/drawingml/2006/picture">
                <pic:pic>
                  <pic:nvPicPr>
                    <pic:cNvPr id="0" name="model_d_pr_curves.png"/>
                    <pic:cNvPicPr/>
                  </pic:nvPicPr>
                  <pic:blipFill>
                    <a:blip r:embed="rId33"/>
                    <a:stretch>
                      <a:fillRect/>
                    </a:stretch>
                  </pic:blipFill>
                  <pic:spPr>
                    <a:xfrm>
                      <a:off x="0" y="0"/>
                      <a:ext cx="3151163" cy="2560320"/>
                    </a:xfrm>
                    <a:prstGeom prst="rect"/>
                  </pic:spPr>
                </pic:pic>
              </a:graphicData>
            </a:graphic>
          </wp:inline>
        </w:drawing>
      </w:r>
    </w:p>
    <w:p>
      <w:pPr>
        <w:spacing w:before="40" w:after="120"/>
        <w:jc w:val="center"/>
      </w:pPr>
      <w:r>
        <w:rPr>
          <w:rFonts w:ascii="Times New Roman" w:hAnsi="Times New Roman"/>
          <w:b/>
          <w:color w:val="0B1F3A"/>
          <w:sz w:val="22"/>
        </w:rPr>
        <w:t>Figure 12.3:</w:t>
      </w:r>
      <w:r>
        <w:rPr>
          <w:rFonts w:ascii="Times New Roman" w:hAnsi="Times New Roman"/>
          <w:i/>
          <w:color w:val="1E1E1E"/>
          <w:sz w:val="22"/>
        </w:rPr>
        <w:t xml:space="preserve"> Multi-Class Precision-Recall (PR) Curves for Frequency-Aware DenseNet-121 (Model D) Across Six Diagnostic Categories</w:t>
      </w:r>
    </w:p>
    <w:p>
      <w:pPr>
        <w:pStyle w:val="Heading2"/>
        <w:keepNext/>
        <w:spacing w:before="140" w:after="60"/>
        <w:jc w:val="left"/>
      </w:pPr>
      <w:r>
        <w:rPr>
          <w:rFonts w:ascii="Times New Roman" w:hAnsi="Times New Roman"/>
          <w:b/>
          <w:color w:val="185FA5"/>
          <w:sz w:val="28"/>
        </w:rPr>
        <w:t>12.5 Negative Result Analysis: Hybrid Model Degradation</w:t>
      </w:r>
    </w:p>
    <w:p>
      <w:pPr>
        <w:spacing w:before="0" w:after="70" w:line="276" w:lineRule="auto"/>
        <w:jc w:val="both"/>
      </w:pPr>
      <w:r>
        <w:rPr>
          <w:rFonts w:ascii="Times New Roman" w:hAnsi="Times New Roman"/>
          <w:b w:val="0"/>
          <w:i w:val="0"/>
          <w:color w:val="1E1E1E"/>
          <w:sz w:val="24"/>
        </w:rPr>
        <w:t xml:space="preserve">An important scientific finding of this research is the performance degradation observed in the </w:t>
      </w:r>
      <w:r>
        <w:rPr>
          <w:rFonts w:ascii="Times New Roman" w:hAnsi="Times New Roman"/>
          <w:b/>
          <w:i w:val="0"/>
          <w:color w:val="0B1F3A"/>
          <w:sz w:val="24"/>
        </w:rPr>
        <w:t>Hybrid Frequency + CORAL Model</w:t>
      </w:r>
      <w:r>
        <w:rPr>
          <w:rFonts w:ascii="Times New Roman" w:hAnsi="Times New Roman"/>
          <w:b w:val="0"/>
          <w:i w:val="0"/>
          <w:color w:val="1E1E1E"/>
          <w:sz w:val="24"/>
        </w:rPr>
        <w:t xml:space="preserve"> (78.22% accuracy vs. 82.93% for Frequency-Aware DenseNet-121). The hypothesis underlying the hybrid framework was that combining biophysical frequency filtering with latent CORAL covariance alignment would yield additive improvements.</w:t>
      </w:r>
    </w:p>
    <w:p>
      <w:pPr>
        <w:spacing w:before="0" w:after="70" w:line="276" w:lineRule="auto"/>
        <w:jc w:val="both"/>
      </w:pPr>
      <w:r>
        <w:rPr>
          <w:rFonts w:ascii="Times New Roman" w:hAnsi="Times New Roman"/>
          <w:b w:val="0"/>
          <w:i w:val="0"/>
          <w:color w:val="1E1E1E"/>
          <w:sz w:val="24"/>
        </w:rPr>
        <w:t>However, empirical evaluation demonstrated that penalizing feature covariance distance across domains was associated with performance degradation on frequency-filtered inputs. The observed degradation is consistent with the possibility that the additional CORAL constraint over-constrained the latent representation after frequency-aware preprocessing. However, the experiment does not establish that mechanism causally. This negative result provides valuable guidance for medical domain generalization architectures: biophysical input-space filtering and latent-space alignment objectives should not be combined uncritically.</w:t>
      </w:r>
    </w:p>
    <w:p>
      <w:pPr>
        <w:pStyle w:val="Heading2"/>
        <w:keepNext/>
        <w:spacing w:before="140" w:after="60"/>
        <w:jc w:val="left"/>
      </w:pPr>
      <w:r>
        <w:rPr>
          <w:rFonts w:ascii="Times New Roman" w:hAnsi="Times New Roman"/>
          <w:b/>
          <w:color w:val="185FA5"/>
          <w:sz w:val="28"/>
        </w:rPr>
        <w:t>12.6 External Zero-Shot Generalization Audit: Montgomery County Cohort</w:t>
      </w:r>
    </w:p>
    <w:p>
      <w:pPr>
        <w:spacing w:before="0" w:after="70" w:line="276" w:lineRule="auto"/>
        <w:jc w:val="both"/>
      </w:pPr>
      <w:r>
        <w:rPr>
          <w:rFonts w:ascii="Times New Roman" w:hAnsi="Times New Roman"/>
          <w:b w:val="0"/>
          <w:i w:val="0"/>
          <w:color w:val="1E1E1E"/>
          <w:sz w:val="24"/>
        </w:rPr>
        <w:t xml:space="preserve">To evaluate true out-of-distribution robustness, the Frequency-Aware DenseNet-121 configuration (Model D) was evaluated zero-shot on the quarantined </w:t>
      </w:r>
      <w:r>
        <w:rPr>
          <w:rFonts w:ascii="Times New Roman" w:hAnsi="Times New Roman"/>
          <w:b/>
          <w:i w:val="0"/>
          <w:color w:val="0B1F3A"/>
          <w:sz w:val="24"/>
        </w:rPr>
        <w:t>Montgomery County Chest X-ray Dataset</w:t>
      </w:r>
      <w:r>
        <w:rPr>
          <w:rFonts w:ascii="Times New Roman" w:hAnsi="Times New Roman"/>
          <w:b w:val="0"/>
          <w:i w:val="0"/>
          <w:color w:val="1E1E1E"/>
          <w:sz w:val="24"/>
        </w:rPr>
        <w:t xml:space="preserve"> (</w:t>
      </w:r>
      <w:r>
        <w:rPr>
          <w:rFonts w:ascii="Times New Roman" w:hAnsi="Times New Roman"/>
          <w:b w:val="0"/>
          <w:i/>
          <w:color w:val="1E1E1E"/>
          <w:sz w:val="24"/>
        </w:rPr>
        <w:t>N = 138</w:t>
      </w:r>
      <w:r>
        <w:rPr>
          <w:rFonts w:ascii="Times New Roman" w:hAnsi="Times New Roman"/>
          <w:b w:val="0"/>
          <w:i w:val="0"/>
          <w:color w:val="1E1E1E"/>
          <w:sz w:val="24"/>
        </w:rPr>
        <w:t xml:space="preserve"> scans: 58 confirmed Tuberculosis cases, 80 Normal subjects). The Montgomery cohort originates from the Department of Health and Human Services of Montgomery County, Maryland, captured via a specialized analog chest X-ray unit digitized at high spatial resolution.</w:t>
      </w:r>
    </w:p>
    <w:p>
      <w:pPr>
        <w:spacing w:before="0" w:after="70" w:line="276" w:lineRule="auto"/>
        <w:jc w:val="both"/>
      </w:pPr>
      <w:r>
        <w:rPr>
          <w:rFonts w:ascii="Times New Roman" w:hAnsi="Times New Roman"/>
          <w:b w:val="0"/>
          <w:i w:val="0"/>
          <w:color w:val="1E1E1E"/>
          <w:sz w:val="24"/>
        </w:rPr>
        <w:t>Table 12.3 presents the external evaluation results.</w:t>
      </w:r>
    </w:p>
    <w:p>
      <w:pPr>
        <w:keepNext/>
        <w:spacing w:before="120" w:after="40"/>
        <w:jc w:val="center"/>
      </w:pPr>
      <w:r>
        <w:rPr>
          <w:rFonts w:ascii="Times New Roman" w:hAnsi="Times New Roman"/>
          <w:b/>
          <w:color w:val="0B1F3A"/>
          <w:sz w:val="22"/>
        </w:rPr>
        <w:t>Table 12.3:</w:t>
      </w:r>
      <w:r>
        <w:rPr>
          <w:rFonts w:ascii="Times New Roman" w:hAnsi="Times New Roman"/>
          <w:b w:val="0"/>
          <w:color w:val="1E1E1E"/>
          <w:sz w:val="22"/>
        </w:rPr>
        <w:t xml:space="preserve"> Zero-Shot External Generalization Performance on Montgomery County Cohort (n = 138)</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3120"/>
        <w:gridCol w:w="3120"/>
        <w:gridCol w:w="3120"/>
      </w:tblGrid>
      <w:tr>
        <w:trPr>
          <w:cantSplit/>
          <w:tblHeader/>
        </w:trPr>
        <w:tc>
          <w:tcPr>
            <w:tcW w:type="dxa" w:w="2880"/>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Diagnostic Metric / Evaluation Dimension</w:t>
            </w:r>
          </w:p>
        </w:tc>
        <w:tc>
          <w:tcPr>
            <w:tcW w:type="dxa" w:w="316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Reported Value on Montgomery (n = 138)</w:t>
            </w:r>
          </w:p>
        </w:tc>
        <w:tc>
          <w:tcPr>
            <w:tcW w:type="dxa" w:w="331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1"/>
              </w:rPr>
              <w:t>Clinical Interpretation &amp; Significance</w:t>
            </w:r>
          </w:p>
        </w:tc>
      </w:tr>
      <w:tr>
        <w:trPr>
          <w:cantSplit/>
        </w:trPr>
        <w:tc>
          <w:tcPr>
            <w:tcW w:type="dxa" w:w="288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Binary Abnormal Sensitivity</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100.0% (58 / 58 TB cases flagged abnormal)</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Model successfully identified all pathological cases as diseased.</w:t>
            </w:r>
          </w:p>
        </w:tc>
      </w:tr>
      <w:tr>
        <w:trPr>
          <w:cantSplit/>
        </w:trPr>
        <w:tc>
          <w:tcPr>
            <w:tcW w:type="dxa" w:w="288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Tuberculosis Specific Recall</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0.0% (0 / 58 classified as Tuberculosis)</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Severe fine-grained misclassification; 50 predicted as Nodule/Mass, 8 as Pleural Effusion.</w:t>
            </w:r>
          </w:p>
        </w:tc>
      </w:tr>
      <w:tr>
        <w:trPr>
          <w:cantSplit/>
        </w:trPr>
        <w:tc>
          <w:tcPr>
            <w:tcW w:type="dxa" w:w="288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Normal Specificity</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0.0% (0 / 80 classified as Normal)</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All 80 normal scans misclassified as abnormal (80 / 80 predicted as Nodule/Mass).</w:t>
            </w:r>
          </w:p>
        </w:tc>
      </w:tr>
      <w:tr>
        <w:trPr>
          <w:cantSplit/>
        </w:trPr>
        <w:tc>
          <w:tcPr>
            <w:tcW w:type="dxa" w:w="2880"/>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Predominant Prediction Class</w:t>
            </w:r>
          </w:p>
        </w:tc>
        <w:tc>
          <w:tcPr>
            <w:tcW w:type="dxa" w:w="316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Pulmonary Nodule / Mass (130 / 138 cases, 94.20%)</w:t>
            </w:r>
          </w:p>
        </w:tc>
        <w:tc>
          <w:tcPr>
            <w:tcW w:type="dxa" w:w="331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1"/>
              </w:rPr>
              <w:t>Remaining 8 cases classified as Pleural Effusion (5.80%); no case classified as TB or Normal.</w:t>
            </w:r>
          </w:p>
        </w:tc>
      </w:tr>
      <w:tr>
        <w:trPr>
          <w:cantSplit/>
        </w:trPr>
        <w:tc>
          <w:tcPr>
            <w:tcW w:type="dxa" w:w="2880"/>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Mean Predicted Probability (Nodule)</w:t>
            </w:r>
          </w:p>
        </w:tc>
        <w:tc>
          <w:tcPr>
            <w:tcW w:type="dxa" w:w="316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0.7842 ± 0.1120</w:t>
            </w:r>
          </w:p>
        </w:tc>
        <w:tc>
          <w:tcPr>
            <w:tcW w:type="dxa" w:w="331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1"/>
              </w:rPr>
              <w:t>High model confidence despite severe diagnostic misattribution.</w:t>
            </w:r>
          </w:p>
        </w:tc>
      </w:tr>
    </w:tbl>
    <w:p>
      <w:pPr>
        <w:spacing w:before="0" w:after="80"/>
      </w:pPr>
    </w:p>
    <w:p>
      <w:pPr>
        <w:pStyle w:val="Heading2"/>
        <w:keepNext/>
        <w:spacing w:before="140" w:after="60"/>
        <w:jc w:val="left"/>
      </w:pPr>
      <w:r>
        <w:rPr>
          <w:rFonts w:ascii="Times New Roman" w:hAnsi="Times New Roman"/>
          <w:b/>
          <w:color w:val="185FA5"/>
          <w:sz w:val="28"/>
        </w:rPr>
        <w:t>12.7 Root Cause Investigation of External Classification Failure</w:t>
      </w:r>
    </w:p>
    <w:p>
      <w:pPr>
        <w:spacing w:before="0" w:after="70" w:line="276" w:lineRule="auto"/>
        <w:jc w:val="both"/>
      </w:pPr>
      <w:r>
        <w:rPr>
          <w:rFonts w:ascii="Times New Roman" w:hAnsi="Times New Roman"/>
          <w:b w:val="0"/>
          <w:i w:val="0"/>
          <w:color w:val="1E1E1E"/>
          <w:sz w:val="24"/>
        </w:rPr>
        <w:t xml:space="preserve">The external Montgomery evaluation revealed a profound scientific insight: while the Frequency-Aware DenseNet-121 model exhibited </w:t>
      </w:r>
      <w:r>
        <w:rPr>
          <w:rFonts w:ascii="Times New Roman" w:hAnsi="Times New Roman"/>
          <w:b/>
          <w:i w:val="0"/>
          <w:color w:val="0B1F3A"/>
          <w:sz w:val="24"/>
        </w:rPr>
        <w:t>100% binary sensitivity in detecting radiological abnormalities</w:t>
      </w:r>
      <w:r>
        <w:rPr>
          <w:rFonts w:ascii="Times New Roman" w:hAnsi="Times New Roman"/>
          <w:b w:val="0"/>
          <w:i w:val="0"/>
          <w:color w:val="1E1E1E"/>
          <w:sz w:val="24"/>
        </w:rPr>
        <w:t xml:space="preserve"> (58 / 58), its fine-grained multi-class discrimination collapsed. Pulmonary Nodule / Mass was the predominant predicted class, accounting for 130 of 138 cases (94.20%). The remaining 8 cases were classified as Pleural Effusion. No Montgomery case was classified as Tuberculosis or Normal.</w:t>
      </w:r>
    </w:p>
    <w:p>
      <w:pPr>
        <w:spacing w:before="0" w:after="70" w:line="276" w:lineRule="auto"/>
        <w:jc w:val="both"/>
      </w:pPr>
      <w:r>
        <w:rPr>
          <w:rFonts w:ascii="Times New Roman" w:hAnsi="Times New Roman"/>
          <w:b w:val="0"/>
          <w:i w:val="0"/>
          <w:color w:val="1E1E1E"/>
          <w:sz w:val="24"/>
        </w:rPr>
        <w:t>The Montgomery evaluation revealed substantial source-dependent differences in image characteristics, including resolution, intensity/dynamic-range characteristics, and high-frequency image structure, that were associated with the observed external-domain classification failure. No single physical factor was established as the sole causal mechanism. The contributing observational factors include:</w:t>
      </w:r>
    </w:p>
    <w:p>
      <w:pPr>
        <w:pStyle w:val="ListNumber"/>
        <w:spacing w:before="0" w:after="40" w:line="276" w:lineRule="auto"/>
        <w:jc w:val="both"/>
      </w:pPr>
      <w:r>
        <w:rPr>
          <w:rFonts w:ascii="Times New Roman" w:hAnsi="Times New Roman"/>
          <w:b/>
          <w:i w:val="0"/>
          <w:color w:val="0B1F3A"/>
          <w:sz w:val="24"/>
        </w:rPr>
        <w:t>Source-Dependent Sensor &amp; Digitization Discrepancies</w:t>
      </w:r>
      <w:r>
        <w:rPr>
          <w:rFonts w:ascii="Times New Roman" w:hAnsi="Times New Roman"/>
          <w:b w:val="0"/>
          <w:i w:val="0"/>
          <w:color w:val="1E1E1E"/>
          <w:sz w:val="24"/>
        </w:rPr>
        <w:t>: The Montgomery cohort consists of digitized analog film radiographs scanned at high spatial resolution (</w:t>
      </w:r>
      <w:r>
        <w:rPr>
          <w:rFonts w:ascii="Times New Roman" w:hAnsi="Times New Roman"/>
          <w:b w:val="0"/>
          <w:i/>
          <w:color w:val="1E1E1E"/>
          <w:sz w:val="24"/>
        </w:rPr>
        <w:t xml:space="preserve">4020 </w:t>
        <w:tab/>
        <w:t>imes 4892</w:t>
      </w:r>
      <w:r>
        <w:rPr>
          <w:rFonts w:ascii="Times New Roman" w:hAnsi="Times New Roman"/>
          <w:b w:val="0"/>
          <w:i w:val="0"/>
          <w:color w:val="1E1E1E"/>
          <w:sz w:val="24"/>
        </w:rPr>
        <w:t xml:space="preserve"> pixels), whereas the training cohort comprised modern direct digital radiography (DR) and computed radiography (CR) scans. The film grain noise and optical scanning artifacts of analog digitization introduced high-frequency spatial patterns not present in the digital training distribution.</w:t>
      </w:r>
    </w:p>
    <w:p>
      <w:pPr>
        <w:pStyle w:val="ListNumber"/>
        <w:spacing w:before="0" w:after="40" w:line="276" w:lineRule="auto"/>
        <w:jc w:val="both"/>
      </w:pPr>
      <w:r>
        <w:rPr>
          <w:rFonts w:ascii="Times New Roman" w:hAnsi="Times New Roman"/>
          <w:b/>
          <w:i w:val="0"/>
          <w:color w:val="0B1F3A"/>
          <w:sz w:val="24"/>
        </w:rPr>
        <w:t>Dynamic Range &amp; Rib Texture Differences</w:t>
      </w:r>
      <w:r>
        <w:rPr>
          <w:rFonts w:ascii="Times New Roman" w:hAnsi="Times New Roman"/>
          <w:b w:val="0"/>
          <w:i w:val="0"/>
          <w:color w:val="1E1E1E"/>
          <w:sz w:val="24"/>
        </w:rPr>
        <w:t>: The analog digitizer produced sharp, high-contrast bone-lung interfaces. These sharp rib-edge contrasts were observationally associated with feature activations resembling nodular patterns, coinciding with predicted class probabilities concentrated on Pulmonary Nodule / Mass.</w:t>
      </w:r>
    </w:p>
    <w:p>
      <w:pPr>
        <w:pStyle w:val="ListNumber"/>
        <w:spacing w:before="0" w:after="40" w:line="276" w:lineRule="auto"/>
        <w:jc w:val="both"/>
      </w:pPr>
      <w:r>
        <w:rPr>
          <w:rFonts w:ascii="Times New Roman" w:hAnsi="Times New Roman"/>
          <w:b/>
          <w:i w:val="0"/>
          <w:color w:val="0B1F3A"/>
          <w:sz w:val="24"/>
        </w:rPr>
        <w:t>Composite Distribution Shifts</w:t>
      </w:r>
      <w:r>
        <w:rPr>
          <w:rFonts w:ascii="Times New Roman" w:hAnsi="Times New Roman"/>
          <w:b w:val="0"/>
          <w:i w:val="0"/>
          <w:color w:val="1E1E1E"/>
          <w:sz w:val="24"/>
        </w:rPr>
        <w:t>: Rather than attributing the failure to a single physical cause, the evidence indicates an association with composite shifts in scanner optical density, film digitization artifacts, and patient demographic variations.</w:t>
      </w:r>
    </w:p>
    <w:p>
      <w:pPr>
        <w:pStyle w:val="Heading2"/>
        <w:keepNext/>
        <w:spacing w:before="140" w:after="60"/>
        <w:jc w:val="left"/>
      </w:pPr>
      <w:r>
        <w:rPr>
          <w:rFonts w:ascii="Times New Roman" w:hAnsi="Times New Roman"/>
          <w:b/>
          <w:color w:val="185FA5"/>
          <w:sz w:val="28"/>
        </w:rPr>
        <w:t>12.8 Two-Stage CXR Gate Functional Evaluation &amp; Threshold Selection</w:t>
      </w:r>
    </w:p>
    <w:p>
      <w:pPr>
        <w:spacing w:before="0" w:after="70" w:line="276" w:lineRule="auto"/>
        <w:jc w:val="both"/>
      </w:pPr>
      <w:r>
        <w:rPr>
          <w:rFonts w:ascii="Times New Roman" w:hAnsi="Times New Roman"/>
          <w:b w:val="0"/>
          <w:i w:val="0"/>
          <w:color w:val="1E1E1E"/>
          <w:sz w:val="24"/>
        </w:rPr>
        <w:t>To establish the efficacy of the Two-Stage CXR Validation Gate, a dedicated 125-image evaluation cohort was constructed:</w:t>
      </w:r>
    </w:p>
    <w:p>
      <w:pPr>
        <w:pStyle w:val="ListBullet"/>
        <w:spacing w:before="0" w:after="40" w:line="276" w:lineRule="auto"/>
        <w:jc w:val="both"/>
      </w:pPr>
      <w:r>
        <w:rPr>
          <w:rFonts w:ascii="Times New Roman" w:hAnsi="Times New Roman"/>
          <w:b/>
          <w:i w:val="0"/>
          <w:color w:val="0B1F3A"/>
          <w:sz w:val="24"/>
        </w:rPr>
        <w:t>48 Genuine Planar Chest Radiographs</w:t>
      </w:r>
      <w:r>
        <w:rPr>
          <w:rFonts w:ascii="Times New Roman" w:hAnsi="Times New Roman"/>
          <w:b w:val="0"/>
          <w:i w:val="0"/>
          <w:color w:val="1E1E1E"/>
          <w:sz w:val="24"/>
        </w:rPr>
        <w:t xml:space="preserve"> (spanning Normal, COVID-19, Pneumonia, Effusion, Nodule, TB);</w:t>
      </w:r>
    </w:p>
    <w:p>
      <w:pPr>
        <w:pStyle w:val="ListBullet"/>
        <w:spacing w:before="0" w:after="40" w:line="276" w:lineRule="auto"/>
        <w:jc w:val="both"/>
      </w:pPr>
      <w:r>
        <w:rPr>
          <w:rFonts w:ascii="Times New Roman" w:hAnsi="Times New Roman"/>
          <w:b/>
          <w:i w:val="0"/>
          <w:color w:val="0B1F3A"/>
          <w:sz w:val="24"/>
        </w:rPr>
        <w:t>77 Non-CXR Images</w:t>
      </w:r>
      <w:r>
        <w:rPr>
          <w:rFonts w:ascii="Times New Roman" w:hAnsi="Times New Roman"/>
          <w:b w:val="0"/>
          <w:i w:val="0"/>
          <w:color w:val="1E1E1E"/>
          <w:sz w:val="24"/>
        </w:rPr>
        <w:t xml:space="preserve"> (comprising 25 axial CT slices, 20 natural photographs of animals and landscapes, 15 clinical non-radiographic photos, and 17 corrupt/synthetic images).</w:t>
      </w:r>
    </w:p>
    <w:p>
      <w:pPr>
        <w:spacing w:before="0" w:after="70" w:line="276" w:lineRule="auto"/>
        <w:jc w:val="both"/>
      </w:pPr>
      <w:r>
        <w:rPr>
          <w:rFonts w:ascii="Times New Roman" w:hAnsi="Times New Roman"/>
          <w:b w:val="0"/>
          <w:i w:val="0"/>
          <w:color w:val="1E1E1E"/>
          <w:sz w:val="24"/>
        </w:rPr>
        <w:t>Table 12.4 summarizes the functional evaluation results across threshold settings.</w:t>
      </w:r>
    </w:p>
    <w:p>
      <w:pPr>
        <w:keepNext/>
        <w:spacing w:before="120" w:after="40"/>
        <w:jc w:val="center"/>
      </w:pPr>
      <w:r>
        <w:rPr>
          <w:rFonts w:ascii="Times New Roman" w:hAnsi="Times New Roman"/>
          <w:b/>
          <w:color w:val="0B1F3A"/>
          <w:sz w:val="22"/>
        </w:rPr>
        <w:t>Table 12.4:</w:t>
      </w:r>
      <w:r>
        <w:rPr>
          <w:rFonts w:ascii="Times New Roman" w:hAnsi="Times New Roman"/>
          <w:b w:val="0"/>
          <w:color w:val="1E1E1E"/>
          <w:sz w:val="22"/>
        </w:rPr>
        <w:t xml:space="preserve"> Functional Validation of Two-Stage CXR Screening Gate (n = 125)</w:t>
      </w:r>
    </w:p>
    <w:tbl>
      <w:tblPr>
        <w:tblW w:type="auto" w:w="0"/>
        <w:jc w:val="center"/>
        <w:tblLook w:firstColumn="1" w:firstRow="1" w:lastColumn="0" w:lastRow="0" w:noHBand="0" w:noVBand="1" w:val="04A0"/>
        <w:tblBorders>
          <w:top w:val="single" w:sz="8" w:space="0" w:color="0B1F3A"/>
          <w:bottom w:val="single" w:sz="8" w:space="0" w:color="0B1F3A"/>
          <w:insideH w:val="single" w:sz="4" w:space="0" w:color="D0D7DE"/>
          <w:insideV w:val="none"/>
          <w:left w:val="none"/>
          <w:right w:val="none"/>
        </w:tblBorders>
      </w:tblPr>
      <w:tblGrid>
        <w:gridCol w:w="1872"/>
        <w:gridCol w:w="1872"/>
        <w:gridCol w:w="1872"/>
        <w:gridCol w:w="1872"/>
        <w:gridCol w:w="1872"/>
      </w:tblGrid>
      <w:tr>
        <w:trPr>
          <w:cantSplit/>
          <w:tblHeader/>
        </w:trPr>
        <w:tc>
          <w:tcPr>
            <w:tcW w:type="dxa" w:w="2016"/>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Operating Threshold (tau)</w:t>
            </w:r>
          </w:p>
        </w:tc>
        <w:tc>
          <w:tcPr>
            <w:tcW w:type="dxa" w:w="1728"/>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CXR Sensitivity (n=48)</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Non-CXR Specificity (n=77)</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ROC-AUC</w:t>
            </w:r>
          </w:p>
        </w:tc>
        <w:tc>
          <w:tcPr>
            <w:tcW w:type="dxa" w:w="1872"/>
            <w:vAlign w:val="center"/>
            <w:tcMar>
              <w:top w:w="40" w:type="dxa"/>
              <w:bottom w:w="40" w:type="dxa"/>
              <w:left w:w="65" w:type="dxa"/>
              <w:right w:w="65" w:type="dxa"/>
            </w:tcMar>
            <w:shd w:fill="0B1F3A"/>
          </w:tcPr>
          <w:p>
            <w:pPr>
              <w:spacing w:before="0" w:after="0" w:line="220" w:lineRule="auto"/>
              <w:jc w:val="center"/>
            </w:pPr>
            <w:r>
              <w:rPr>
                <w:rFonts w:ascii="Times New Roman" w:hAnsi="Times New Roman"/>
                <w:b/>
                <w:color w:val="FFFFFF"/>
                <w:sz w:val="20"/>
              </w:rPr>
              <w:t>Out-of-Distribution Rejection Behavior</w:t>
            </w:r>
          </w:p>
        </w:tc>
      </w:tr>
      <w:tr>
        <w:trPr>
          <w:cantSplit/>
        </w:trPr>
        <w:tc>
          <w:tcPr>
            <w:tcW w:type="dxa" w:w="2016"/>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tau = 0.50</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100.0% (48/48)</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88.31% (68/77)</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val="0"/>
                <w:i w:val="0"/>
                <w:color w:val="1E1E1E"/>
                <w:sz w:val="20"/>
              </w:rPr>
              <w:t>0.9840</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val="0"/>
                <w:i w:val="0"/>
                <w:color w:val="1E1E1E"/>
                <w:sz w:val="20"/>
              </w:rPr>
              <w:t>Permitted 9 natural photographs and CT slices to pass.</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tau = 0.70</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100.0% (48/48)</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94.81% (73/77)</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0.9950</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Intercepted CT slices, but permitted high-contrast cat photograph.</w:t>
            </w:r>
          </w:p>
        </w:tc>
      </w:tr>
      <w:tr>
        <w:trPr>
          <w:cantSplit/>
        </w:trPr>
        <w:tc>
          <w:tcPr>
            <w:tcW w:type="dxa" w:w="2016"/>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tau = 0.83 (Production)</w:t>
            </w:r>
          </w:p>
        </w:tc>
        <w:tc>
          <w:tcPr>
            <w:tcW w:type="dxa" w:w="1728"/>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100.0% (48/48)</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100.0% (77/77)</w:t>
            </w:r>
          </w:p>
        </w:tc>
        <w:tc>
          <w:tcPr>
            <w:tcW w:type="dxa" w:w="1872"/>
            <w:vAlign w:val="center"/>
            <w:tcMar>
              <w:top w:w="40" w:type="dxa"/>
              <w:bottom w:w="40" w:type="dxa"/>
              <w:left w:w="65" w:type="dxa"/>
              <w:right w:w="65" w:type="dxa"/>
            </w:tcMar>
            <w:shd w:fill="F8FAFC"/>
          </w:tcPr>
          <w:p>
            <w:pPr>
              <w:spacing w:before="0" w:after="0" w:line="220" w:lineRule="auto"/>
              <w:jc w:val="center"/>
            </w:pPr>
            <w:r>
              <w:rPr>
                <w:rFonts w:ascii="Times New Roman" w:hAnsi="Times New Roman"/>
                <w:b/>
                <w:i w:val="0"/>
                <w:color w:val="0B1F3A"/>
                <w:sz w:val="20"/>
              </w:rPr>
              <w:t>1.0000</w:t>
            </w:r>
          </w:p>
        </w:tc>
        <w:tc>
          <w:tcPr>
            <w:tcW w:type="dxa" w:w="1872"/>
            <w:vAlign w:val="center"/>
            <w:tcMar>
              <w:top w:w="40" w:type="dxa"/>
              <w:bottom w:w="40" w:type="dxa"/>
              <w:left w:w="65" w:type="dxa"/>
              <w:right w:w="65" w:type="dxa"/>
            </w:tcMar>
            <w:shd w:fill="F8FAFC"/>
          </w:tcPr>
          <w:p>
            <w:pPr>
              <w:spacing w:before="0" w:after="0" w:line="220" w:lineRule="auto"/>
              <w:jc w:val="left"/>
            </w:pPr>
            <w:r>
              <w:rPr>
                <w:rFonts w:ascii="Times New Roman" w:hAnsi="Times New Roman"/>
                <w:b/>
                <w:i w:val="0"/>
                <w:color w:val="0B1F3A"/>
                <w:sz w:val="20"/>
              </w:rPr>
              <w:t>Selected operating threshold; rejected all non-CXRs and cat photo.</w:t>
            </w:r>
          </w:p>
        </w:tc>
      </w:tr>
      <w:tr>
        <w:trPr>
          <w:cantSplit/>
        </w:trPr>
        <w:tc>
          <w:tcPr>
            <w:tcW w:type="dxa" w:w="2016"/>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tau = 0.90</w:t>
            </w:r>
          </w:p>
        </w:tc>
        <w:tc>
          <w:tcPr>
            <w:tcW w:type="dxa" w:w="1728"/>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93.75% (45/48)</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100.0% (77/77)</w:t>
            </w:r>
          </w:p>
        </w:tc>
        <w:tc>
          <w:tcPr>
            <w:tcW w:type="dxa" w:w="1872"/>
            <w:vAlign w:val="center"/>
            <w:tcMar>
              <w:top w:w="40" w:type="dxa"/>
              <w:bottom w:w="40" w:type="dxa"/>
              <w:left w:w="65" w:type="dxa"/>
              <w:right w:w="65" w:type="dxa"/>
            </w:tcMar>
            <w:shd w:fill="FFFFFF"/>
          </w:tcPr>
          <w:p>
            <w:pPr>
              <w:spacing w:before="0" w:after="0" w:line="220" w:lineRule="auto"/>
              <w:jc w:val="center"/>
            </w:pPr>
            <w:r>
              <w:rPr>
                <w:rFonts w:ascii="Times New Roman" w:hAnsi="Times New Roman"/>
                <w:b w:val="0"/>
                <w:i w:val="0"/>
                <w:color w:val="1E1E1E"/>
                <w:sz w:val="20"/>
              </w:rPr>
              <w:t>0.9920</w:t>
            </w:r>
          </w:p>
        </w:tc>
        <w:tc>
          <w:tcPr>
            <w:tcW w:type="dxa" w:w="1872"/>
            <w:vAlign w:val="center"/>
            <w:tcMar>
              <w:top w:w="40" w:type="dxa"/>
              <w:bottom w:w="40" w:type="dxa"/>
              <w:left w:w="65" w:type="dxa"/>
              <w:right w:w="65" w:type="dxa"/>
            </w:tcMar>
            <w:shd w:fill="FFFFFF"/>
          </w:tcPr>
          <w:p>
            <w:pPr>
              <w:spacing w:before="0" w:after="0" w:line="220" w:lineRule="auto"/>
              <w:jc w:val="left"/>
            </w:pPr>
            <w:r>
              <w:rPr>
                <w:rFonts w:ascii="Times New Roman" w:hAnsi="Times New Roman"/>
                <w:b w:val="0"/>
                <w:i w:val="0"/>
                <w:color w:val="1E1E1E"/>
                <w:sz w:val="20"/>
              </w:rPr>
              <w:t>Excessive false rejections; rejected 3 low-dose genuine CXRs.</w:t>
            </w:r>
          </w:p>
        </w:tc>
      </w:tr>
    </w:tbl>
    <w:p>
      <w:pPr>
        <w:spacing w:before="0" w:after="80"/>
      </w:pPr>
    </w:p>
    <w:p>
      <w:pPr>
        <w:pStyle w:val="Heading2"/>
        <w:keepNext/>
        <w:spacing w:before="140" w:after="60"/>
        <w:jc w:val="left"/>
      </w:pPr>
      <w:r>
        <w:rPr>
          <w:rFonts w:ascii="Times New Roman" w:hAnsi="Times New Roman"/>
          <w:b/>
          <w:color w:val="185FA5"/>
          <w:sz w:val="28"/>
        </w:rPr>
        <w:t>12.9 Threshold Selection Limitation &amp; Out-of-Distribution Cat Defect</w:t>
      </w:r>
    </w:p>
    <w:p>
      <w:pPr>
        <w:spacing w:before="0" w:after="70" w:line="276" w:lineRule="auto"/>
        <w:jc w:val="both"/>
      </w:pPr>
      <w:r>
        <w:rPr>
          <w:rFonts w:ascii="Times New Roman" w:hAnsi="Times New Roman"/>
          <w:b w:val="0"/>
          <w:i w:val="0"/>
          <w:color w:val="1E1E1E"/>
          <w:sz w:val="24"/>
        </w:rPr>
        <w:t>Two critical findings must be explicitly disclosed regarding the CXR Gate:</w:t>
      </w:r>
    </w:p>
    <w:p>
      <w:pPr>
        <w:pStyle w:val="ListNumber"/>
        <w:spacing w:before="0" w:after="40" w:line="276" w:lineRule="auto"/>
        <w:jc w:val="both"/>
      </w:pPr>
      <w:r>
        <w:rPr>
          <w:rFonts w:ascii="Times New Roman" w:hAnsi="Times New Roman"/>
          <w:b/>
          <w:i w:val="0"/>
          <w:color w:val="0B1F3A"/>
          <w:sz w:val="24"/>
        </w:rPr>
        <w:t>Threshold Selection on Evaluation Cohort (Methodological Limitation)</w:t>
      </w:r>
      <w:r>
        <w:rPr>
          <w:rFonts w:ascii="Times New Roman" w:hAnsi="Times New Roman"/>
          <w:b w:val="0"/>
          <w:i w:val="0"/>
          <w:color w:val="1E1E1E"/>
          <w:sz w:val="24"/>
        </w:rPr>
        <w:t xml:space="preserve">: The production operating threshold </w:t>
      </w:r>
      <w:r>
        <w:rPr>
          <w:rFonts w:ascii="Times New Roman" w:hAnsi="Times New Roman"/>
          <w:b w:val="0"/>
          <w:i/>
          <w:color w:val="1E1E1E"/>
          <w:sz w:val="24"/>
        </w:rPr>
        <w:tab/>
        <w:t>au = 0.83</w:t>
      </w:r>
      <w:r>
        <w:rPr>
          <w:rFonts w:ascii="Times New Roman" w:hAnsi="Times New Roman"/>
          <w:b w:val="0"/>
          <w:i w:val="0"/>
          <w:color w:val="1E1E1E"/>
          <w:sz w:val="24"/>
        </w:rPr>
        <w:t xml:space="preserve"> was selected on the same 125-image evaluation cohort; therefore these values represent functional verification results rather than unbiased estimates of external generalization. True generalization performance must be re-calibrated on an independent prospective external cohort.</w:t>
      </w:r>
    </w:p>
    <w:p>
      <w:pPr>
        <w:pStyle w:val="ListNumber"/>
        <w:spacing w:before="0" w:after="40" w:line="276" w:lineRule="auto"/>
        <w:jc w:val="both"/>
      </w:pPr>
      <w:r>
        <w:rPr>
          <w:rFonts w:ascii="Times New Roman" w:hAnsi="Times New Roman"/>
          <w:b/>
          <w:i w:val="0"/>
          <w:color w:val="0B1F3A"/>
          <w:sz w:val="24"/>
        </w:rPr>
        <w:t>The "Cat Defect" Discovery</w:t>
      </w:r>
      <w:r>
        <w:rPr>
          <w:rFonts w:ascii="Times New Roman" w:hAnsi="Times New Roman"/>
          <w:b w:val="0"/>
          <w:i w:val="0"/>
          <w:color w:val="1E1E1E"/>
          <w:sz w:val="24"/>
        </w:rPr>
        <w:t xml:space="preserve">: During initial testing at threshold </w:t>
      </w:r>
      <w:r>
        <w:rPr>
          <w:rFonts w:ascii="Times New Roman" w:hAnsi="Times New Roman"/>
          <w:b w:val="0"/>
          <w:i/>
          <w:color w:val="1E1E1E"/>
          <w:sz w:val="24"/>
        </w:rPr>
        <w:tab/>
        <w:t>au = 0.70</w:t>
      </w:r>
      <w:r>
        <w:rPr>
          <w:rFonts w:ascii="Times New Roman" w:hAnsi="Times New Roman"/>
          <w:b w:val="0"/>
          <w:i w:val="0"/>
          <w:color w:val="1E1E1E"/>
          <w:sz w:val="24"/>
        </w:rPr>
        <w:t xml:space="preserve">, a high-contrast photograph of a domestic cat successfully traversed the gate and was classified by Frequency-Aware DenseNet-121 as "Normal" with 64.2% probability. Forensic inspection revealed that the cat's whiskers and high-contrast facial contours produced spatial frequency signatures resembling bronchovascular markings. Adjusting the gate operating threshold upward to </w:t>
      </w:r>
      <w:r>
        <w:rPr>
          <w:rFonts w:ascii="Times New Roman" w:hAnsi="Times New Roman"/>
          <w:b w:val="0"/>
          <w:i/>
          <w:color w:val="1E1E1E"/>
          <w:sz w:val="24"/>
        </w:rPr>
        <w:tab/>
        <w:t>au = 0.83</w:t>
      </w:r>
      <w:r>
        <w:rPr>
          <w:rFonts w:ascii="Times New Roman" w:hAnsi="Times New Roman"/>
          <w:b w:val="0"/>
          <w:i w:val="0"/>
          <w:color w:val="1E1E1E"/>
          <w:sz w:val="24"/>
        </w:rPr>
        <w:t xml:space="preserve"> resolved this defect within the verification cohort, correctly rejecting the cat image with gate confidence 0.7410 (&lt; 0.83).</w:t>
      </w:r>
    </w:p>
    <w:p>
      <w:r>
        <w:br w:type="page"/>
      </w:r>
    </w:p>
    <w:p>
      <w:pPr>
        <w:pStyle w:val="Heading1"/>
        <w:keepNext/>
        <w:spacing w:before="160" w:after="120"/>
        <w:jc w:val="left"/>
      </w:pPr>
      <w:r>
        <w:rPr>
          <w:rFonts w:ascii="Times New Roman" w:hAnsi="Times New Roman"/>
          <w:b/>
          <w:color w:val="0B1F3A"/>
          <w:sz w:val="32"/>
        </w:rPr>
        <w:t>CHAPTER 13 – SECURITY, PRIVACY AND RESPONSIBLE AI</w:t>
      </w:r>
    </w:p>
    <w:p>
      <w:pPr>
        <w:pStyle w:val="Heading2"/>
        <w:keepNext/>
        <w:spacing w:before="140" w:after="60"/>
        <w:jc w:val="left"/>
      </w:pPr>
      <w:r>
        <w:rPr>
          <w:rFonts w:ascii="Times New Roman" w:hAnsi="Times New Roman"/>
          <w:b/>
          <w:color w:val="185FA5"/>
          <w:sz w:val="28"/>
        </w:rPr>
        <w:t>13.1 Medical Data Security &amp; Boundary Protection</w:t>
      </w:r>
    </w:p>
    <w:p>
      <w:pPr>
        <w:spacing w:before="0" w:after="70" w:line="276" w:lineRule="auto"/>
        <w:jc w:val="both"/>
      </w:pPr>
      <w:r>
        <w:rPr>
          <w:rFonts w:ascii="Times New Roman" w:hAnsi="Times New Roman"/>
          <w:b w:val="0"/>
          <w:i w:val="0"/>
          <w:color w:val="1E1E1E"/>
          <w:sz w:val="24"/>
        </w:rPr>
        <w:t>Clinical diagnostic systems operate within highly sensitive operational environments where data confidentiality and system availability are critical. The research prototype implements input validation, payload constraints, controlled inference, and database persistence safeguards. Production deployment would require additional authentication, authorization, network isolation, rate limiting, audit controls, and regulatory/security hardening. Specific implemented safeguards include:</w:t>
      </w:r>
    </w:p>
    <w:p>
      <w:pPr>
        <w:pStyle w:val="ListNumber"/>
        <w:spacing w:before="0" w:after="40" w:line="276" w:lineRule="auto"/>
        <w:jc w:val="both"/>
      </w:pPr>
      <w:r>
        <w:rPr>
          <w:rFonts w:ascii="Times New Roman" w:hAnsi="Times New Roman"/>
          <w:b/>
          <w:i w:val="0"/>
          <w:color w:val="0B1F3A"/>
          <w:sz w:val="24"/>
        </w:rPr>
        <w:t>Input Payload Sanitization</w:t>
      </w:r>
      <w:r>
        <w:rPr>
          <w:rFonts w:ascii="Times New Roman" w:hAnsi="Times New Roman"/>
          <w:b w:val="0"/>
          <w:i w:val="0"/>
          <w:color w:val="1E1E1E"/>
          <w:sz w:val="24"/>
        </w:rPr>
        <w:t>: Uploaded image payloads are inspected in memory prior to disk persistence. Magic byte validation, MIME-type verification, and dimension bounds checking mitigate buffer overflow risks, executable injection, and malicious file header exploits.</w:t>
      </w:r>
    </w:p>
    <w:p>
      <w:pPr>
        <w:pStyle w:val="ListNumber"/>
        <w:spacing w:before="0" w:after="40" w:line="276" w:lineRule="auto"/>
        <w:jc w:val="both"/>
      </w:pPr>
      <w:r>
        <w:rPr>
          <w:rFonts w:ascii="Times New Roman" w:hAnsi="Times New Roman"/>
          <w:b/>
          <w:i w:val="0"/>
          <w:color w:val="0B1F3A"/>
          <w:sz w:val="24"/>
        </w:rPr>
        <w:t>Defensive Ingestion Constraints</w:t>
      </w:r>
      <w:r>
        <w:rPr>
          <w:rFonts w:ascii="Times New Roman" w:hAnsi="Times New Roman"/>
          <w:b w:val="0"/>
          <w:i w:val="0"/>
          <w:color w:val="1E1E1E"/>
          <w:sz w:val="24"/>
        </w:rPr>
        <w:t>: The backend enforces payload size restrictions (maximum 30 MB) and input dimension verification (</w:t>
      </w:r>
      <w:r>
        <w:rPr>
          <w:rFonts w:ascii="Times New Roman" w:hAnsi="Times New Roman"/>
          <w:b w:val="0"/>
          <w:i/>
          <w:color w:val="1E1E1E"/>
          <w:sz w:val="24"/>
        </w:rPr>
        <w:t xml:space="preserve">\ge 32 </w:t>
        <w:tab/>
        <w:t>imes 32</w:t>
      </w:r>
      <w:r>
        <w:rPr>
          <w:rFonts w:ascii="Times New Roman" w:hAnsi="Times New Roman"/>
          <w:b w:val="0"/>
          <w:i w:val="0"/>
          <w:color w:val="1E1E1E"/>
          <w:sz w:val="24"/>
        </w:rPr>
        <w:t>), mitigating denial-of-service and malformed file vectors.</w:t>
      </w:r>
    </w:p>
    <w:p>
      <w:pPr>
        <w:pStyle w:val="ListNumber"/>
        <w:spacing w:before="0" w:after="40" w:line="276" w:lineRule="auto"/>
        <w:jc w:val="both"/>
      </w:pPr>
      <w:r>
        <w:rPr>
          <w:rFonts w:ascii="Times New Roman" w:hAnsi="Times New Roman"/>
          <w:b/>
          <w:i w:val="0"/>
          <w:color w:val="0B1F3A"/>
          <w:sz w:val="24"/>
        </w:rPr>
        <w:t>Controlled Local Execution</w:t>
      </w:r>
      <w:r>
        <w:rPr>
          <w:rFonts w:ascii="Times New Roman" w:hAnsi="Times New Roman"/>
          <w:b w:val="0"/>
          <w:i w:val="0"/>
          <w:color w:val="1E1E1E"/>
          <w:sz w:val="24"/>
        </w:rPr>
        <w:t>: Model inference executes in-process with read-only access to serialized model weights (</w:t>
      </w:r>
      <w:r>
        <w:rPr>
          <w:rFonts w:ascii="Times New Roman" w:hAnsi="Times New Roman"/>
          <w:b w:val="0"/>
          <w:i w:val="0"/>
          <w:color w:val="1E1E1E"/>
          <w:sz w:val="23"/>
        </w:rPr>
        <w:t>.pth</w:t>
      </w:r>
      <w:r>
        <w:rPr>
          <w:rFonts w:ascii="Times New Roman" w:hAnsi="Times New Roman"/>
          <w:b w:val="0"/>
          <w:i w:val="0"/>
          <w:color w:val="1E1E1E"/>
          <w:sz w:val="24"/>
        </w:rPr>
        <w:t xml:space="preserve"> files).</w:t>
      </w:r>
    </w:p>
    <w:p>
      <w:pPr>
        <w:pStyle w:val="Heading2"/>
        <w:keepNext/>
        <w:spacing w:before="140" w:after="60"/>
        <w:jc w:val="left"/>
      </w:pPr>
      <w:r>
        <w:rPr>
          <w:rFonts w:ascii="Times New Roman" w:hAnsi="Times New Roman"/>
          <w:b/>
          <w:color w:val="185FA5"/>
          <w:sz w:val="28"/>
        </w:rPr>
        <w:t>13.2 Patient Privacy, De-Identification &amp; Regulatory Considerations</w:t>
      </w:r>
    </w:p>
    <w:p>
      <w:pPr>
        <w:spacing w:before="0" w:after="70" w:line="276" w:lineRule="auto"/>
        <w:jc w:val="both"/>
      </w:pPr>
      <w:r>
        <w:rPr>
          <w:rFonts w:ascii="Times New Roman" w:hAnsi="Times New Roman"/>
          <w:b w:val="0"/>
          <w:i w:val="0"/>
          <w:color w:val="1E1E1E"/>
          <w:sz w:val="24"/>
        </w:rPr>
        <w:t>Protecting Protected Health Information (PHI) is a fundamental legal and ethical imperative under medical data regulations (including the US Health Insurance Portability and Accountability Act [HIPAA] and the EU General Data Protection Regulation [GDPR]).</w:t>
      </w:r>
    </w:p>
    <w:p>
      <w:pPr>
        <w:spacing w:before="0" w:after="70" w:line="276" w:lineRule="auto"/>
        <w:jc w:val="both"/>
      </w:pPr>
      <w:r>
        <w:rPr>
          <w:rFonts w:ascii="Times New Roman" w:hAnsi="Times New Roman"/>
          <w:b w:val="0"/>
          <w:i w:val="0"/>
          <w:color w:val="1E1E1E"/>
          <w:sz w:val="24"/>
        </w:rPr>
        <w:t>LungAI addresses privacy through structured de-identification protocols:</w:t>
      </w:r>
    </w:p>
    <w:p>
      <w:pPr>
        <w:pStyle w:val="ListBullet"/>
        <w:spacing w:before="0" w:after="40" w:line="276" w:lineRule="auto"/>
        <w:jc w:val="both"/>
      </w:pPr>
      <w:r>
        <w:rPr>
          <w:rFonts w:ascii="Times New Roman" w:hAnsi="Times New Roman"/>
          <w:b/>
          <w:i w:val="0"/>
          <w:color w:val="0B1F3A"/>
          <w:sz w:val="24"/>
        </w:rPr>
        <w:t>Supported Raster Formats</w:t>
      </w:r>
      <w:r>
        <w:rPr>
          <w:rFonts w:ascii="Times New Roman" w:hAnsi="Times New Roman"/>
          <w:b w:val="0"/>
          <w:i w:val="0"/>
          <w:color w:val="1E1E1E"/>
          <w:sz w:val="24"/>
        </w:rPr>
        <w:t>: The current prototype accepts supported raster image formats such as PNG, JPEG, and TIFF. Embedded metadata stripping and native DICOM header de-identification are designed as future architectural enhancements for hospital PACS integration.</w:t>
      </w:r>
    </w:p>
    <w:p>
      <w:pPr>
        <w:pStyle w:val="ListBullet"/>
        <w:spacing w:before="0" w:after="40" w:line="276" w:lineRule="auto"/>
        <w:jc w:val="both"/>
      </w:pPr>
      <w:r>
        <w:rPr>
          <w:rFonts w:ascii="Times New Roman" w:hAnsi="Times New Roman"/>
          <w:b/>
          <w:i w:val="0"/>
          <w:color w:val="0B1F3A"/>
          <w:sz w:val="24"/>
        </w:rPr>
        <w:t>Pseudonymized Relational Identifiers</w:t>
      </w:r>
      <w:r>
        <w:rPr>
          <w:rFonts w:ascii="Times New Roman" w:hAnsi="Times New Roman"/>
          <w:b w:val="0"/>
          <w:i w:val="0"/>
          <w:color w:val="1E1E1E"/>
          <w:sz w:val="24"/>
        </w:rPr>
        <w:t>: Stored diagnostic records are indexed exclusively by randomized cryptographic UUIDs. No direct patient identifying attributes are stored in plain text within the SQLite persistence tier.</w:t>
      </w:r>
    </w:p>
    <w:p>
      <w:pPr>
        <w:pStyle w:val="ListBullet"/>
        <w:spacing w:before="0" w:after="40" w:line="276" w:lineRule="auto"/>
        <w:jc w:val="both"/>
      </w:pPr>
      <w:r>
        <w:rPr>
          <w:rFonts w:ascii="Times New Roman" w:hAnsi="Times New Roman"/>
          <w:b/>
          <w:i w:val="0"/>
          <w:color w:val="0B1F3A"/>
          <w:sz w:val="24"/>
        </w:rPr>
        <w:t>Non-Clinical Research Prototype Disclaimer</w:t>
      </w:r>
      <w:r>
        <w:rPr>
          <w:rFonts w:ascii="Times New Roman" w:hAnsi="Times New Roman"/>
          <w:b w:val="0"/>
          <w:i w:val="0"/>
          <w:color w:val="1E1E1E"/>
          <w:sz w:val="24"/>
        </w:rPr>
        <w:t>: The software represents an academic research prototype. It has not undergone formal third-party regulatory certification for HIPAA or GDPR compliance and must not be utilized in production clinical environments without enterprise security hardening.</w:t>
      </w:r>
    </w:p>
    <w:p>
      <w:pPr>
        <w:pStyle w:val="Heading2"/>
        <w:keepNext/>
        <w:spacing w:before="140" w:after="60"/>
        <w:jc w:val="left"/>
      </w:pPr>
      <w:r>
        <w:rPr>
          <w:rFonts w:ascii="Times New Roman" w:hAnsi="Times New Roman"/>
          <w:b/>
          <w:color w:val="185FA5"/>
          <w:sz w:val="28"/>
        </w:rPr>
        <w:t>13.3 Explainability &amp; Clinician-in-the-Loop Safeguards</w:t>
      </w:r>
    </w:p>
    <w:p>
      <w:pPr>
        <w:spacing w:before="0" w:after="70" w:line="276" w:lineRule="auto"/>
        <w:jc w:val="both"/>
      </w:pPr>
      <w:r>
        <w:rPr>
          <w:rFonts w:ascii="Times New Roman" w:hAnsi="Times New Roman"/>
          <w:b w:val="0"/>
          <w:i w:val="0"/>
          <w:color w:val="1E1E1E"/>
          <w:sz w:val="24"/>
        </w:rPr>
        <w:t>Automated clinical AI systems must never function as autonomous decision-makers. LungAI is explicitly engineered as an assistive second-reader and clinical triage system. To ensure responsible deployment:</w:t>
      </w:r>
    </w:p>
    <w:p>
      <w:pPr>
        <w:pStyle w:val="ListBullet"/>
        <w:spacing w:before="0" w:after="40" w:line="276" w:lineRule="auto"/>
        <w:jc w:val="both"/>
      </w:pPr>
      <w:r>
        <w:rPr>
          <w:rFonts w:ascii="Times New Roman" w:hAnsi="Times New Roman"/>
          <w:b/>
          <w:i w:val="0"/>
          <w:color w:val="0B1F3A"/>
          <w:sz w:val="24"/>
        </w:rPr>
        <w:t>Mandatory Visual Inspection</w:t>
      </w:r>
      <w:r>
        <w:rPr>
          <w:rFonts w:ascii="Times New Roman" w:hAnsi="Times New Roman"/>
          <w:b w:val="0"/>
          <w:i w:val="0"/>
          <w:color w:val="1E1E1E"/>
          <w:sz w:val="24"/>
        </w:rPr>
        <w:t>: Clinicians are presented with side-by-side Grad-CAM saliency maps, enabling rapid verification of whether model attention corresponds to genuine anatomical consolidations or artifacts.</w:t>
      </w:r>
    </w:p>
    <w:p>
      <w:pPr>
        <w:pStyle w:val="ListBullet"/>
        <w:spacing w:before="0" w:after="40" w:line="276" w:lineRule="auto"/>
        <w:jc w:val="both"/>
      </w:pPr>
      <w:r>
        <w:rPr>
          <w:rFonts w:ascii="Times New Roman" w:hAnsi="Times New Roman"/>
          <w:b/>
          <w:i w:val="0"/>
          <w:color w:val="0B1F3A"/>
          <w:sz w:val="24"/>
        </w:rPr>
        <w:t>Multi-Class Probability Distribution Display</w:t>
      </w:r>
      <w:r>
        <w:rPr>
          <w:rFonts w:ascii="Times New Roman" w:hAnsi="Times New Roman"/>
          <w:b w:val="0"/>
          <w:i w:val="0"/>
          <w:color w:val="1E1E1E"/>
          <w:sz w:val="24"/>
        </w:rPr>
        <w:t>: The interface displays the full predicted probability distribution across all six classes rather than a simple argmax label, highlighting diagnostic ambiguity when multiple conditions exhibit non-zero likelihoods.</w:t>
      </w:r>
    </w:p>
    <w:p>
      <w:pPr>
        <w:pStyle w:val="ListBullet"/>
        <w:spacing w:before="0" w:after="40" w:line="276" w:lineRule="auto"/>
        <w:jc w:val="both"/>
      </w:pPr>
      <w:r>
        <w:rPr>
          <w:rFonts w:ascii="Times New Roman" w:hAnsi="Times New Roman"/>
          <w:b/>
          <w:i w:val="0"/>
          <w:color w:val="0B1F3A"/>
          <w:sz w:val="24"/>
        </w:rPr>
        <w:t>Triage Priority Escalation</w:t>
      </w:r>
      <w:r>
        <w:rPr>
          <w:rFonts w:ascii="Times New Roman" w:hAnsi="Times New Roman"/>
          <w:b w:val="0"/>
          <w:i w:val="0"/>
          <w:color w:val="1E1E1E"/>
          <w:sz w:val="24"/>
        </w:rPr>
        <w:t>: Critical conditions (COVID-19 and Pleural Effusion) trigger high-visibility emergency visual alerts, accelerating specialist review without altering the clinical worklist autonomously.</w:t>
      </w:r>
    </w:p>
    <w:p>
      <w:pPr>
        <w:pStyle w:val="Heading2"/>
        <w:keepNext/>
        <w:spacing w:before="140" w:after="60"/>
        <w:jc w:val="left"/>
      </w:pPr>
      <w:r>
        <w:rPr>
          <w:rFonts w:ascii="Times New Roman" w:hAnsi="Times New Roman"/>
          <w:b/>
          <w:color w:val="185FA5"/>
          <w:sz w:val="28"/>
        </w:rPr>
        <w:t>13.4 Non-Diagnostic Positioning &amp; Clinical Disclaimers</w:t>
      </w:r>
    </w:p>
    <w:p>
      <w:pPr>
        <w:spacing w:before="0" w:after="70" w:line="276" w:lineRule="auto"/>
        <w:jc w:val="both"/>
      </w:pPr>
      <w:r>
        <w:rPr>
          <w:rFonts w:ascii="Times New Roman" w:hAnsi="Times New Roman"/>
          <w:b w:val="0"/>
          <w:i w:val="0"/>
          <w:color w:val="1E1E1E"/>
          <w:sz w:val="24"/>
        </w:rPr>
        <w:t>LungAI is strictly positioned as an investigational, computer-aided decision-support tool. The software displays prominent clinical disclaimers across all interface views:</w:t>
      </w:r>
    </w:p>
    <w:p>
      <w:pPr>
        <w:spacing w:before="80" w:after="80"/>
        <w:ind w:left="576" w:right="576"/>
        <w:jc w:val="both"/>
      </w:pPr>
      <w:r>
        <w:rPr>
          <w:rFonts w:ascii="Times New Roman" w:hAnsi="Times New Roman"/>
          <w:b/>
          <w:i/>
          <w:color w:val="0B1F3A"/>
          <w:sz w:val="23"/>
        </w:rPr>
        <w:t>Clinical Disclaimer</w:t>
      </w:r>
      <w:r>
        <w:rPr>
          <w:rFonts w:ascii="Times New Roman" w:hAnsi="Times New Roman"/>
          <w:b w:val="0"/>
          <w:i/>
          <w:color w:val="0B1F3A"/>
          <w:sz w:val="23"/>
        </w:rPr>
        <w:t>: "LungAI is an investigational deep learning research platform intended solely for assistive decision support and academic research. It is not cleared by regulatory agencies as a standalone medical diagnostic device. Diagnostic interpretations, clinical diagnoses, and treatment plans must always be rendered by a certified diagnostic radiologist or licensed medical practitioner."</w:t>
      </w:r>
    </w:p>
    <w:p>
      <w:r>
        <w:br w:type="page"/>
      </w:r>
    </w:p>
    <w:p>
      <w:pPr>
        <w:pStyle w:val="Heading1"/>
        <w:keepNext/>
        <w:spacing w:before="160" w:after="120"/>
        <w:jc w:val="left"/>
      </w:pPr>
      <w:r>
        <w:rPr>
          <w:rFonts w:ascii="Times New Roman" w:hAnsi="Times New Roman"/>
          <w:b/>
          <w:color w:val="0B1F3A"/>
          <w:sz w:val="32"/>
        </w:rPr>
        <w:t>CHAPTER 14 – LIMITATIONS</w:t>
      </w:r>
    </w:p>
    <w:p>
      <w:pPr>
        <w:spacing w:before="0" w:after="70" w:line="276" w:lineRule="auto"/>
        <w:jc w:val="both"/>
      </w:pPr>
      <w:r>
        <w:rPr>
          <w:rFonts w:ascii="Times New Roman" w:hAnsi="Times New Roman"/>
          <w:b w:val="0"/>
          <w:i w:val="0"/>
          <w:color w:val="1E1E1E"/>
          <w:sz w:val="24"/>
        </w:rPr>
        <w:t>A rigorous and transparent assessment of scientific limitations is vital for guiding future medical AI research. The primary limitations identified in this research comprise:</w:t>
      </w:r>
    </w:p>
    <w:p>
      <w:pPr>
        <w:pStyle w:val="Heading2"/>
        <w:keepNext/>
        <w:spacing w:before="140" w:after="60"/>
        <w:jc w:val="left"/>
      </w:pPr>
      <w:r>
        <w:rPr>
          <w:rFonts w:ascii="Times New Roman" w:hAnsi="Times New Roman"/>
          <w:b/>
          <w:color w:val="185FA5"/>
          <w:sz w:val="28"/>
        </w:rPr>
        <w:t>14.1 External Dataset Generalization Failure (Montgomery Cohort)</w:t>
      </w:r>
    </w:p>
    <w:p>
      <w:pPr>
        <w:spacing w:before="0" w:after="70" w:line="276" w:lineRule="auto"/>
        <w:jc w:val="both"/>
      </w:pPr>
      <w:r>
        <w:rPr>
          <w:rFonts w:ascii="Times New Roman" w:hAnsi="Times New Roman"/>
          <w:b w:val="0"/>
          <w:i w:val="0"/>
          <w:color w:val="1E1E1E"/>
          <w:sz w:val="24"/>
        </w:rPr>
        <w:t>As documented in Chapter 12, evaluating the Frequency-Aware DenseNet-121 model (Model D) on the external Montgomery County cohort resulted in severe fine-grained diagnostic collapse: Pulmonary Nodule / Mass was the predominant predicted class, accounting for 130 of 138 cases (94.20%). The remaining 8 cases were classified as Pleural Effusion (5.80%). No Montgomery case was classified as Tuberculosis or Normal, yielding 0% recall for Tuberculosis and 0% specificity for Normal subjects. While the model retained 100% binary abnormality sensitivity (58 / 58), its failure to maintain class boundaries highlights that high internal test accuracy (82.93%) is completely insufficient to guarantee cross-scanner generalization.</w:t>
      </w:r>
    </w:p>
    <w:p>
      <w:pPr>
        <w:pStyle w:val="Heading2"/>
        <w:keepNext/>
        <w:spacing w:before="140" w:after="60"/>
        <w:jc w:val="left"/>
      </w:pPr>
      <w:r>
        <w:rPr>
          <w:rFonts w:ascii="Times New Roman" w:hAnsi="Times New Roman"/>
          <w:b/>
          <w:color w:val="185FA5"/>
          <w:sz w:val="28"/>
        </w:rPr>
        <w:t>14.2 Class Imbalance &amp; Pathological Representation Gaps</w:t>
      </w:r>
    </w:p>
    <w:p>
      <w:pPr>
        <w:spacing w:before="0" w:after="70" w:line="276" w:lineRule="auto"/>
        <w:jc w:val="both"/>
      </w:pPr>
      <w:r>
        <w:rPr>
          <w:rFonts w:ascii="Times New Roman" w:hAnsi="Times New Roman"/>
          <w:b w:val="0"/>
          <w:i w:val="0"/>
          <w:color w:val="1E1E1E"/>
          <w:sz w:val="24"/>
        </w:rPr>
        <w:t>Despite patient-level balancing efforts in the V5 dataset, significant class prevalence disparities persisted:</w:t>
      </w:r>
    </w:p>
    <w:p>
      <w:pPr>
        <w:pStyle w:val="ListBullet"/>
        <w:spacing w:before="0" w:after="40" w:line="276" w:lineRule="auto"/>
        <w:jc w:val="both"/>
      </w:pPr>
      <w:r>
        <w:rPr>
          <w:rFonts w:ascii="Times New Roman" w:hAnsi="Times New Roman"/>
          <w:b/>
          <w:i w:val="0"/>
          <w:color w:val="0B1F3A"/>
          <w:sz w:val="24"/>
        </w:rPr>
        <w:t>Tuberculosis</w:t>
      </w:r>
      <w:r>
        <w:rPr>
          <w:rFonts w:ascii="Times New Roman" w:hAnsi="Times New Roman"/>
          <w:b w:val="0"/>
          <w:i w:val="0"/>
          <w:color w:val="1E1E1E"/>
          <w:sz w:val="24"/>
        </w:rPr>
        <w:t>: Tuberculosis comprises 1,348 images in the complete Unified V5 dataset, with 64 images in the frozen internal test set. This smaller test support results in wider confidence intervals across sub-cohort evaluations.</w:t>
      </w:r>
    </w:p>
    <w:p>
      <w:pPr>
        <w:pStyle w:val="ListBullet"/>
        <w:spacing w:before="0" w:after="40" w:line="276" w:lineRule="auto"/>
        <w:jc w:val="both"/>
      </w:pPr>
      <w:r>
        <w:rPr>
          <w:rFonts w:ascii="Times New Roman" w:hAnsi="Times New Roman"/>
          <w:b/>
          <w:i w:val="0"/>
          <w:color w:val="0B1F3A"/>
          <w:sz w:val="24"/>
        </w:rPr>
        <w:t>Pulmonary Nodule / Mass &amp; Pleural Effusion</w:t>
      </w:r>
      <w:r>
        <w:rPr>
          <w:rFonts w:ascii="Times New Roman" w:hAnsi="Times New Roman"/>
          <w:b w:val="0"/>
          <w:i w:val="0"/>
          <w:color w:val="1E1E1E"/>
          <w:sz w:val="24"/>
        </w:rPr>
        <w:t xml:space="preserve">: Exhibited lower per-class F1-scores (53.03% and 55.32% respectively) compared to acute infectious conditions. Pulmonary nodules present diverse morphological shapes and subtle contrast gradients that are frequently missed by 2D convolutional networks resampled to </w:t>
      </w:r>
      <w:r>
        <w:rPr>
          <w:rFonts w:ascii="Times New Roman" w:hAnsi="Times New Roman"/>
          <w:b w:val="0"/>
          <w:i/>
          <w:color w:val="1E1E1E"/>
          <w:sz w:val="24"/>
        </w:rPr>
        <w:t xml:space="preserve">224 </w:t>
        <w:tab/>
        <w:t>imes 224</w:t>
      </w:r>
      <w:r>
        <w:rPr>
          <w:rFonts w:ascii="Times New Roman" w:hAnsi="Times New Roman"/>
          <w:b w:val="0"/>
          <w:i w:val="0"/>
          <w:color w:val="1E1E1E"/>
          <w:sz w:val="24"/>
        </w:rPr>
        <w:t xml:space="preserve"> pixels.</w:t>
      </w:r>
    </w:p>
    <w:p>
      <w:pPr>
        <w:pStyle w:val="Heading2"/>
        <w:keepNext/>
        <w:spacing w:before="140" w:after="60"/>
        <w:jc w:val="left"/>
      </w:pPr>
      <w:r>
        <w:rPr>
          <w:rFonts w:ascii="Times New Roman" w:hAnsi="Times New Roman"/>
          <w:b/>
          <w:color w:val="185FA5"/>
          <w:sz w:val="28"/>
        </w:rPr>
        <w:t>14.3 Sensor Domain Shift &amp; High-Frequency Sensitivity</w:t>
      </w:r>
    </w:p>
    <w:p>
      <w:pPr>
        <w:spacing w:before="0" w:after="70" w:line="276" w:lineRule="auto"/>
        <w:jc w:val="both"/>
      </w:pPr>
      <w:r>
        <w:rPr>
          <w:rFonts w:ascii="Times New Roman" w:hAnsi="Times New Roman"/>
          <w:b w:val="0"/>
          <w:i w:val="0"/>
          <w:color w:val="1E1E1E"/>
          <w:sz w:val="24"/>
        </w:rPr>
        <w:t>The research demonstrated that deep convolutional backbones remain acutely sensitive to sensor-level domain shifts. The contrast profiles of digitized analog film X-rays (Montgomery) differed fundamentally from modern digital flat-panel radiography (V5 training sources). While biophysical frequency filtering (</w:t>
      </w:r>
      <w:r>
        <w:rPr>
          <w:rFonts w:ascii="Times New Roman" w:hAnsi="Times New Roman"/>
          <w:b w:val="0"/>
          <w:i/>
          <w:color w:val="1E1E1E"/>
          <w:sz w:val="24"/>
        </w:rPr>
        <w:t>\sigma = 1.0</w:t>
      </w:r>
      <w:r>
        <w:rPr>
          <w:rFonts w:ascii="Times New Roman" w:hAnsi="Times New Roman"/>
          <w:b w:val="0"/>
          <w:i w:val="0"/>
          <w:color w:val="1E1E1E"/>
          <w:sz w:val="24"/>
        </w:rPr>
        <w:t>) was associated with improved performance over latent alignment on internal test splits, it was insufficient to overcome severe analog-to-digital sensor discrepancies.</w:t>
      </w:r>
    </w:p>
    <w:p>
      <w:pPr>
        <w:pStyle w:val="Heading2"/>
        <w:keepNext/>
        <w:spacing w:before="140" w:after="60"/>
        <w:jc w:val="left"/>
      </w:pPr>
      <w:r>
        <w:rPr>
          <w:rFonts w:ascii="Times New Roman" w:hAnsi="Times New Roman"/>
          <w:b/>
          <w:color w:val="185FA5"/>
          <w:sz w:val="28"/>
        </w:rPr>
        <w:t>14.4 CXR Validation Gate Threshold Selection Leakage</w:t>
      </w:r>
    </w:p>
    <w:p>
      <w:pPr>
        <w:spacing w:before="0" w:after="70" w:line="276" w:lineRule="auto"/>
        <w:jc w:val="both"/>
      </w:pPr>
      <w:r>
        <w:rPr>
          <w:rFonts w:ascii="Times New Roman" w:hAnsi="Times New Roman"/>
          <w:b w:val="0"/>
          <w:i w:val="0"/>
          <w:color w:val="1E1E1E"/>
          <w:sz w:val="24"/>
        </w:rPr>
        <w:t xml:space="preserve">The production operating threshold </w:t>
      </w:r>
      <w:r>
        <w:rPr>
          <w:rFonts w:ascii="Times New Roman" w:hAnsi="Times New Roman"/>
          <w:b w:val="0"/>
          <w:i/>
          <w:color w:val="1E1E1E"/>
          <w:sz w:val="24"/>
        </w:rPr>
        <w:tab/>
        <w:t>au = 0.83</w:t>
      </w:r>
      <w:r>
        <w:rPr>
          <w:rFonts w:ascii="Times New Roman" w:hAnsi="Times New Roman"/>
          <w:b w:val="0"/>
          <w:i w:val="0"/>
          <w:color w:val="1E1E1E"/>
          <w:sz w:val="24"/>
        </w:rPr>
        <w:t xml:space="preserve"> for the Two-Stage CXR Validation Gate was selected based on the 125-image evaluation cohort. Consequently, the reported 100% sensitivity and 100% specificity represent </w:t>
      </w:r>
      <w:r>
        <w:rPr>
          <w:rFonts w:ascii="Times New Roman" w:hAnsi="Times New Roman"/>
          <w:b/>
          <w:i w:val="0"/>
          <w:color w:val="0B1F3A"/>
          <w:sz w:val="24"/>
        </w:rPr>
        <w:t>functional verification estimates</w:t>
      </w:r>
      <w:r>
        <w:rPr>
          <w:rFonts w:ascii="Times New Roman" w:hAnsi="Times New Roman"/>
          <w:b w:val="0"/>
          <w:i w:val="0"/>
          <w:color w:val="1E1E1E"/>
          <w:sz w:val="24"/>
        </w:rPr>
        <w:t xml:space="preserve"> rather than unbiased out-of-distribution performance metrics. In real-world deployment across unseen non-radiographic categories, performance may vary.</w:t>
      </w:r>
    </w:p>
    <w:p>
      <w:pPr>
        <w:pStyle w:val="Heading2"/>
        <w:keepNext/>
        <w:spacing w:before="140" w:after="60"/>
        <w:jc w:val="left"/>
      </w:pPr>
      <w:r>
        <w:rPr>
          <w:rFonts w:ascii="Times New Roman" w:hAnsi="Times New Roman"/>
          <w:b/>
          <w:color w:val="185FA5"/>
          <w:sz w:val="28"/>
        </w:rPr>
        <w:t>14.5 Lack of Prospective Clinical &amp; Hospital Validation</w:t>
      </w:r>
    </w:p>
    <w:p>
      <w:pPr>
        <w:spacing w:before="0" w:after="70" w:line="276" w:lineRule="auto"/>
        <w:jc w:val="both"/>
      </w:pPr>
      <w:r>
        <w:rPr>
          <w:rFonts w:ascii="Times New Roman" w:hAnsi="Times New Roman"/>
          <w:b w:val="0"/>
          <w:i w:val="0"/>
          <w:color w:val="1E1E1E"/>
          <w:sz w:val="24"/>
        </w:rPr>
        <w:t>All evaluations conducted in this dissertation were executed retrospectively on curated historical cohorts. The system has not undergone prospective clinical trials in an active emergency department or hospital radiology suite. Prospective clinical factors—such as patient motion artifacts, suboptimal bedside radiographic positioning, chest tubes, electrocardiogram leads, and surgical hardware—were underrepresented in the evaluation benchmark.</w:t>
      </w:r>
    </w:p>
    <w:p>
      <w:r>
        <w:br w:type="page"/>
      </w:r>
    </w:p>
    <w:p>
      <w:pPr>
        <w:pStyle w:val="Heading1"/>
        <w:keepNext/>
        <w:spacing w:before="160" w:after="120"/>
        <w:jc w:val="left"/>
      </w:pPr>
      <w:r>
        <w:rPr>
          <w:rFonts w:ascii="Times New Roman" w:hAnsi="Times New Roman"/>
          <w:b/>
          <w:color w:val="0B1F3A"/>
          <w:sz w:val="32"/>
        </w:rPr>
        <w:t>CHAPTER 15 – FUTURE ENHANCEMENTS</w:t>
      </w:r>
    </w:p>
    <w:p>
      <w:pPr>
        <w:spacing w:before="0" w:after="70" w:line="276" w:lineRule="auto"/>
        <w:jc w:val="both"/>
      </w:pPr>
      <w:r>
        <w:rPr>
          <w:rFonts w:ascii="Times New Roman" w:hAnsi="Times New Roman"/>
          <w:b w:val="0"/>
          <w:i w:val="0"/>
          <w:color w:val="1E1E1E"/>
          <w:sz w:val="24"/>
        </w:rPr>
        <w:t>To build upon the foundation established by LungAI, several concrete future research avenues are identified:</w:t>
      </w:r>
    </w:p>
    <w:p>
      <w:pPr>
        <w:pStyle w:val="Heading2"/>
        <w:keepNext/>
        <w:spacing w:before="140" w:after="60"/>
        <w:jc w:val="left"/>
      </w:pPr>
      <w:r>
        <w:rPr>
          <w:rFonts w:ascii="Times New Roman" w:hAnsi="Times New Roman"/>
          <w:b/>
          <w:color w:val="185FA5"/>
          <w:sz w:val="28"/>
        </w:rPr>
        <w:t>15.1 Multi-Center Prospective Clinical Trials</w:t>
      </w:r>
    </w:p>
    <w:p>
      <w:pPr>
        <w:spacing w:before="0" w:after="70" w:line="276" w:lineRule="auto"/>
        <w:jc w:val="both"/>
      </w:pPr>
      <w:r>
        <w:rPr>
          <w:rFonts w:ascii="Times New Roman" w:hAnsi="Times New Roman"/>
          <w:b w:val="0"/>
          <w:i w:val="0"/>
          <w:color w:val="1E1E1E"/>
          <w:sz w:val="24"/>
        </w:rPr>
        <w:t>The foremost priority for subsequent research is the execution of a multi-center prospective observational trial. Deploying LungAI as an assistive second-reader in active clinical triage workflows will provide rigorous evidence regarding its impact on radiologist diagnostic turnaround times, inter-reader agreement rates, and clinical triage efficacy across acute respiratory admissions.</w:t>
      </w:r>
    </w:p>
    <w:p>
      <w:pPr>
        <w:pStyle w:val="Heading2"/>
        <w:keepNext/>
        <w:spacing w:before="140" w:after="60"/>
        <w:jc w:val="left"/>
      </w:pPr>
      <w:r>
        <w:rPr>
          <w:rFonts w:ascii="Times New Roman" w:hAnsi="Times New Roman"/>
          <w:b/>
          <w:color w:val="185FA5"/>
          <w:sz w:val="28"/>
        </w:rPr>
        <w:t>15.2 Independent Threshold Calibration &amp; Temperature Scaling</w:t>
      </w:r>
    </w:p>
    <w:p>
      <w:pPr>
        <w:spacing w:before="0" w:after="70" w:line="276" w:lineRule="auto"/>
        <w:jc w:val="both"/>
      </w:pPr>
      <w:r>
        <w:rPr>
          <w:rFonts w:ascii="Times New Roman" w:hAnsi="Times New Roman"/>
          <w:b w:val="0"/>
          <w:i w:val="0"/>
          <w:color w:val="1E1E1E"/>
          <w:sz w:val="24"/>
        </w:rPr>
        <w:t>To enhance the statistical reliability of the CXR Validation Gate and the Frequency-Aware DenseNet-121 classifier:</w:t>
      </w:r>
    </w:p>
    <w:p>
      <w:pPr>
        <w:pStyle w:val="ListNumber"/>
        <w:spacing w:before="0" w:after="40" w:line="276" w:lineRule="auto"/>
        <w:jc w:val="both"/>
      </w:pPr>
      <w:r>
        <w:rPr>
          <w:rFonts w:ascii="Times New Roman" w:hAnsi="Times New Roman"/>
          <w:b/>
          <w:i w:val="0"/>
          <w:color w:val="0B1F3A"/>
          <w:sz w:val="24"/>
        </w:rPr>
        <w:t>Independent Gate Calibration</w:t>
      </w:r>
      <w:r>
        <w:rPr>
          <w:rFonts w:ascii="Times New Roman" w:hAnsi="Times New Roman"/>
          <w:b w:val="0"/>
          <w:i w:val="0"/>
          <w:color w:val="1E1E1E"/>
          <w:sz w:val="24"/>
        </w:rPr>
        <w:t xml:space="preserve">: Calibrate the gate threshold </w:t>
      </w:r>
      <w:r>
        <w:rPr>
          <w:rFonts w:ascii="Times New Roman" w:hAnsi="Times New Roman"/>
          <w:b w:val="0"/>
          <w:i/>
          <w:color w:val="1E1E1E"/>
          <w:sz w:val="24"/>
        </w:rPr>
        <w:tab/>
        <w:t>au</w:t>
      </w:r>
      <w:r>
        <w:rPr>
          <w:rFonts w:ascii="Times New Roman" w:hAnsi="Times New Roman"/>
          <w:b w:val="0"/>
          <w:i w:val="0"/>
          <w:color w:val="1E1E1E"/>
          <w:sz w:val="24"/>
        </w:rPr>
        <w:t xml:space="preserve"> on a large-scale, independently quarantined benchmark of diverse non-radiographic medical scans (ultrasound, MRI, endoscopy, pathology) and general photographic datasets (ImageNet).</w:t>
      </w:r>
    </w:p>
    <w:p>
      <w:pPr>
        <w:pStyle w:val="ListNumber"/>
        <w:spacing w:before="0" w:after="40" w:line="276" w:lineRule="auto"/>
        <w:jc w:val="both"/>
      </w:pPr>
      <w:r>
        <w:rPr>
          <w:rFonts w:ascii="Times New Roman" w:hAnsi="Times New Roman"/>
          <w:b/>
          <w:i w:val="0"/>
          <w:color w:val="0B1F3A"/>
          <w:sz w:val="24"/>
        </w:rPr>
        <w:t>Temperature Scaling for Calibration</w:t>
      </w:r>
      <w:r>
        <w:rPr>
          <w:rFonts w:ascii="Times New Roman" w:hAnsi="Times New Roman"/>
          <w:b w:val="0"/>
          <w:i w:val="0"/>
          <w:color w:val="1E1E1E"/>
          <w:sz w:val="24"/>
        </w:rPr>
        <w:t>: Implement post-hoc temperature scaling (</w:t>
      </w:r>
      <w:r>
        <w:rPr>
          <w:rFonts w:ascii="Times New Roman" w:hAnsi="Times New Roman"/>
          <w:b w:val="0"/>
          <w:i/>
          <w:color w:val="1E1E1E"/>
          <w:sz w:val="24"/>
        </w:rPr>
        <w:t>T &gt; 0</w:t>
      </w:r>
      <w:r>
        <w:rPr>
          <w:rFonts w:ascii="Times New Roman" w:hAnsi="Times New Roman"/>
          <w:b w:val="0"/>
          <w:i w:val="0"/>
          <w:color w:val="1E1E1E"/>
          <w:sz w:val="24"/>
        </w:rPr>
        <w:t>) to optimize logit scaling on validation splits, minimizing Expected Calibration Error (ECE) and ensuring that predicted probabilities accurately reflect true posterior likelihoods [20].</w:t>
      </w:r>
    </w:p>
    <w:p>
      <w:pPr>
        <w:pStyle w:val="Heading2"/>
        <w:keepNext/>
        <w:spacing w:before="140" w:after="60"/>
        <w:jc w:val="left"/>
      </w:pPr>
      <w:r>
        <w:rPr>
          <w:rFonts w:ascii="Times New Roman" w:hAnsi="Times New Roman"/>
          <w:b/>
          <w:color w:val="185FA5"/>
          <w:sz w:val="28"/>
        </w:rPr>
        <w:t>15.3 DICOM &amp; PACS Integration Standards</w:t>
      </w:r>
    </w:p>
    <w:p>
      <w:pPr>
        <w:spacing w:before="0" w:after="70" w:line="276" w:lineRule="auto"/>
        <w:jc w:val="both"/>
      </w:pPr>
      <w:r>
        <w:rPr>
          <w:rFonts w:ascii="Times New Roman" w:hAnsi="Times New Roman"/>
          <w:b w:val="0"/>
          <w:i w:val="0"/>
          <w:color w:val="1E1E1E"/>
          <w:sz w:val="24"/>
        </w:rPr>
        <w:t>While the current platform accepts standard image formats, real-world hospital integration requires native medical imaging interoperability:</w:t>
      </w:r>
    </w:p>
    <w:p>
      <w:pPr>
        <w:pStyle w:val="ListBullet"/>
        <w:spacing w:before="0" w:after="40" w:line="276" w:lineRule="auto"/>
        <w:jc w:val="both"/>
      </w:pPr>
      <w:r>
        <w:rPr>
          <w:rFonts w:ascii="Times New Roman" w:hAnsi="Times New Roman"/>
          <w:b/>
          <w:i w:val="0"/>
          <w:color w:val="0B1F3A"/>
          <w:sz w:val="24"/>
        </w:rPr>
        <w:t>DICOM C-STORE &amp; C-MOVE Support</w:t>
      </w:r>
      <w:r>
        <w:rPr>
          <w:rFonts w:ascii="Times New Roman" w:hAnsi="Times New Roman"/>
          <w:b w:val="0"/>
          <w:i w:val="0"/>
          <w:color w:val="1E1E1E"/>
          <w:sz w:val="24"/>
        </w:rPr>
        <w:t>: Implement native DICOM network communication endpoints allowing PACS archives to stream uncompressed 16-bit radiographic studies directly to the ingestion pipeline.</w:t>
      </w:r>
    </w:p>
    <w:p>
      <w:pPr>
        <w:pStyle w:val="ListBullet"/>
        <w:spacing w:before="0" w:after="40" w:line="276" w:lineRule="auto"/>
        <w:jc w:val="both"/>
      </w:pPr>
      <w:r>
        <w:rPr>
          <w:rFonts w:ascii="Times New Roman" w:hAnsi="Times New Roman"/>
          <w:b/>
          <w:i w:val="0"/>
          <w:color w:val="0B1F3A"/>
          <w:sz w:val="24"/>
        </w:rPr>
        <w:t>FHIR / HL7 Diagnostic Reporting</w:t>
      </w:r>
      <w:r>
        <w:rPr>
          <w:rFonts w:ascii="Times New Roman" w:hAnsi="Times New Roman"/>
          <w:b w:val="0"/>
          <w:i w:val="0"/>
          <w:color w:val="1E1E1E"/>
          <w:sz w:val="24"/>
        </w:rPr>
        <w:t>: Format diagnostic outputs, triage tiers, and Grad-CAM coordinate metadata as standardized HL7 FHIR DiagnosticReport resources for automated transmission into Electronic Health Record (EHR) systems.</w:t>
      </w:r>
    </w:p>
    <w:p>
      <w:pPr>
        <w:pStyle w:val="Heading2"/>
        <w:keepNext/>
        <w:spacing w:before="140" w:after="60"/>
        <w:jc w:val="left"/>
      </w:pPr>
      <w:r>
        <w:rPr>
          <w:rFonts w:ascii="Times New Roman" w:hAnsi="Times New Roman"/>
          <w:b/>
          <w:color w:val="185FA5"/>
          <w:sz w:val="28"/>
        </w:rPr>
        <w:t>15.4 Advanced Domain Invariant Representation Learning</w:t>
      </w:r>
    </w:p>
    <w:p>
      <w:pPr>
        <w:spacing w:before="0" w:after="70" w:line="276" w:lineRule="auto"/>
        <w:jc w:val="both"/>
      </w:pPr>
      <w:r>
        <w:rPr>
          <w:rFonts w:ascii="Times New Roman" w:hAnsi="Times New Roman"/>
          <w:b w:val="0"/>
          <w:i w:val="0"/>
          <w:color w:val="1E1E1E"/>
          <w:sz w:val="24"/>
        </w:rPr>
        <w:t>To overcome cross-scanner generalization collapse:</w:t>
      </w:r>
    </w:p>
    <w:p>
      <w:pPr>
        <w:pStyle w:val="ListBullet"/>
        <w:spacing w:before="0" w:after="40" w:line="276" w:lineRule="auto"/>
        <w:jc w:val="both"/>
      </w:pPr>
      <w:r>
        <w:rPr>
          <w:rFonts w:ascii="Times New Roman" w:hAnsi="Times New Roman"/>
          <w:b/>
          <w:i w:val="0"/>
          <w:color w:val="0B1F3A"/>
          <w:sz w:val="24"/>
        </w:rPr>
        <w:t>Invariant Risk Minimization (IRM)</w:t>
      </w:r>
      <w:r>
        <w:rPr>
          <w:rFonts w:ascii="Times New Roman" w:hAnsi="Times New Roman"/>
          <w:b w:val="0"/>
          <w:i w:val="0"/>
          <w:color w:val="1E1E1E"/>
          <w:sz w:val="24"/>
        </w:rPr>
        <w:t>: Investigate causal representation learning frameworks (such as IRM [13]) that discover feature representations whose optimal classifier is invariant across diverse hospital acquisition domains.</w:t>
      </w:r>
    </w:p>
    <w:p>
      <w:pPr>
        <w:pStyle w:val="ListBullet"/>
        <w:spacing w:before="0" w:after="40" w:line="276" w:lineRule="auto"/>
        <w:jc w:val="both"/>
      </w:pPr>
      <w:r>
        <w:rPr>
          <w:rFonts w:ascii="Times New Roman" w:hAnsi="Times New Roman"/>
          <w:b/>
          <w:i w:val="0"/>
          <w:color w:val="0B1F3A"/>
          <w:sz w:val="24"/>
        </w:rPr>
        <w:t>Self-Supervised Medical Pre-training</w:t>
      </w:r>
      <w:r>
        <w:rPr>
          <w:rFonts w:ascii="Times New Roman" w:hAnsi="Times New Roman"/>
          <w:b w:val="0"/>
          <w:i w:val="0"/>
          <w:color w:val="1E1E1E"/>
          <w:sz w:val="24"/>
        </w:rPr>
        <w:t>: Transition from natural ImageNet pre-training to domain-specific self-supervised representations trained on uncurated multi-million CXR collections (e.g., CheXzero, BioLinkBERT) to capture specialized radiological priors.</w:t>
      </w:r>
    </w:p>
    <w:p>
      <w:pPr>
        <w:pStyle w:val="Heading2"/>
        <w:keepNext/>
        <w:spacing w:before="140" w:after="60"/>
        <w:jc w:val="left"/>
      </w:pPr>
      <w:r>
        <w:rPr>
          <w:rFonts w:ascii="Times New Roman" w:hAnsi="Times New Roman"/>
          <w:b/>
          <w:color w:val="185FA5"/>
          <w:sz w:val="28"/>
        </w:rPr>
        <w:t>15.5 Enhanced Explainability Frameworks (Grad-CAM++, Score-CAM)</w:t>
      </w:r>
    </w:p>
    <w:p>
      <w:pPr>
        <w:spacing w:before="0" w:after="70" w:line="276" w:lineRule="auto"/>
        <w:jc w:val="both"/>
      </w:pPr>
      <w:r>
        <w:rPr>
          <w:rFonts w:ascii="Times New Roman" w:hAnsi="Times New Roman"/>
          <w:b w:val="0"/>
          <w:i w:val="0"/>
          <w:color w:val="1E1E1E"/>
          <w:sz w:val="24"/>
        </w:rPr>
        <w:t>While Grad-CAM provides effective coarse localization, subsequent iterations will incorporate advanced saliency architectures:</w:t>
      </w:r>
    </w:p>
    <w:p>
      <w:pPr>
        <w:pStyle w:val="ListBullet"/>
        <w:spacing w:before="0" w:after="40" w:line="276" w:lineRule="auto"/>
        <w:jc w:val="both"/>
      </w:pPr>
      <w:r>
        <w:rPr>
          <w:rFonts w:ascii="Times New Roman" w:hAnsi="Times New Roman"/>
          <w:b/>
          <w:i w:val="0"/>
          <w:color w:val="0B1F3A"/>
          <w:sz w:val="24"/>
        </w:rPr>
        <w:t>Grad-CAM++</w:t>
      </w:r>
      <w:r>
        <w:rPr>
          <w:rFonts w:ascii="Times New Roman" w:hAnsi="Times New Roman"/>
          <w:b w:val="0"/>
          <w:i w:val="0"/>
          <w:color w:val="1E1E1E"/>
          <w:sz w:val="24"/>
        </w:rPr>
        <w:t>: Utilizes higher-order derivatives to provide superior multi-instance lesion localization and fine-grained boundary delineation [12].</w:t>
      </w:r>
    </w:p>
    <w:p>
      <w:pPr>
        <w:pStyle w:val="ListBullet"/>
        <w:spacing w:before="0" w:after="40" w:line="276" w:lineRule="auto"/>
        <w:jc w:val="both"/>
      </w:pPr>
      <w:r>
        <w:rPr>
          <w:rFonts w:ascii="Times New Roman" w:hAnsi="Times New Roman"/>
          <w:b/>
          <w:i w:val="0"/>
          <w:color w:val="0B1F3A"/>
          <w:sz w:val="24"/>
        </w:rPr>
        <w:t>Score-CAM</w:t>
      </w:r>
      <w:r>
        <w:rPr>
          <w:rFonts w:ascii="Times New Roman" w:hAnsi="Times New Roman"/>
          <w:b w:val="0"/>
          <w:i w:val="0"/>
          <w:color w:val="1E1E1E"/>
          <w:sz w:val="24"/>
        </w:rPr>
        <w:t>: Removes gradient dependency entirely, deriving activation maps through perturbation-based forward score changes to eliminate gradient saturation artifacts.</w:t>
      </w:r>
    </w:p>
    <w:p>
      <w:r>
        <w:br w:type="page"/>
      </w:r>
    </w:p>
    <w:p>
      <w:pPr>
        <w:pStyle w:val="Heading1"/>
        <w:keepNext/>
        <w:spacing w:before="160" w:after="120"/>
        <w:jc w:val="left"/>
      </w:pPr>
      <w:r>
        <w:rPr>
          <w:rFonts w:ascii="Times New Roman" w:hAnsi="Times New Roman"/>
          <w:b/>
          <w:color w:val="0B1F3A"/>
          <w:sz w:val="32"/>
        </w:rPr>
        <w:t>CHAPTER 16 – CONCLUSION</w:t>
      </w:r>
    </w:p>
    <w:p>
      <w:pPr>
        <w:pStyle w:val="Heading2"/>
        <w:keepNext/>
        <w:spacing w:before="140" w:after="60"/>
        <w:jc w:val="left"/>
      </w:pPr>
      <w:r>
        <w:rPr>
          <w:rFonts w:ascii="Times New Roman" w:hAnsi="Times New Roman"/>
          <w:b/>
          <w:color w:val="185FA5"/>
          <w:sz w:val="28"/>
        </w:rPr>
        <w:t>16.1 Summary of Research Contributions</w:t>
      </w:r>
    </w:p>
    <w:p>
      <w:pPr>
        <w:spacing w:before="0" w:after="70" w:line="276" w:lineRule="auto"/>
        <w:jc w:val="both"/>
      </w:pPr>
      <w:r>
        <w:rPr>
          <w:rFonts w:ascii="Times New Roman" w:hAnsi="Times New Roman"/>
          <w:b w:val="0"/>
          <w:i w:val="0"/>
          <w:color w:val="1E1E1E"/>
          <w:sz w:val="24"/>
        </w:rPr>
        <w:t>This dissertation addressed the fundamental challenge of robust multi-class thoracic disease detection and cross-source generalization in deep learning systems. Through a rigorous, multi-faceted research methodology, the project successfully delivered:</w:t>
      </w:r>
    </w:p>
    <w:p>
      <w:pPr>
        <w:pStyle w:val="ListNumber"/>
        <w:spacing w:before="0" w:after="40" w:line="276" w:lineRule="auto"/>
        <w:jc w:val="both"/>
      </w:pPr>
      <w:r>
        <w:rPr>
          <w:rFonts w:ascii="Times New Roman" w:hAnsi="Times New Roman"/>
          <w:b/>
          <w:i w:val="0"/>
          <w:color w:val="0B1F3A"/>
          <w:sz w:val="24"/>
        </w:rPr>
        <w:t>Forensic Audit &amp; Dataset Reconstruction</w:t>
      </w:r>
      <w:r>
        <w:rPr>
          <w:rFonts w:ascii="Times New Roman" w:hAnsi="Times New Roman"/>
          <w:b w:val="0"/>
          <w:i w:val="0"/>
          <w:color w:val="1E1E1E"/>
          <w:sz w:val="24"/>
        </w:rPr>
        <w:t>: Uncovered widespread cross-modality contamination and shortcut learning risks in public benchmarks. Reconstructed the Unified V5 Research Dataset comprising 10,547 verified planar chest radiographs across 10,270 unique patients, strictly partitioned at the patient level across eight independent acquisition sources.</w:t>
      </w:r>
    </w:p>
    <w:p>
      <w:pPr>
        <w:pStyle w:val="ListNumber"/>
        <w:spacing w:before="0" w:after="40" w:line="276" w:lineRule="auto"/>
        <w:jc w:val="both"/>
      </w:pPr>
      <w:r>
        <w:rPr>
          <w:rFonts w:ascii="Times New Roman" w:hAnsi="Times New Roman"/>
          <w:b/>
          <w:i w:val="0"/>
          <w:color w:val="0B1F3A"/>
          <w:sz w:val="24"/>
        </w:rPr>
        <w:t>Development and Evaluation of the Final Frequency-Aware DenseNet-121 Configuration</w:t>
      </w:r>
      <w:r>
        <w:rPr>
          <w:rFonts w:ascii="Times New Roman" w:hAnsi="Times New Roman"/>
          <w:b w:val="0"/>
          <w:i w:val="0"/>
          <w:color w:val="1E1E1E"/>
          <w:sz w:val="24"/>
        </w:rPr>
        <w:t xml:space="preserve">: Designed and trained a high-performance multi-class architecture (internally designated Model D) employing dense feature reuse, Global Average Pooling, and a 256-D bottleneck classification head, reaching peak internal test metrics of </w:t>
      </w:r>
      <w:r>
        <w:rPr>
          <w:rFonts w:ascii="Times New Roman" w:hAnsi="Times New Roman"/>
          <w:b/>
          <w:i w:val="0"/>
          <w:color w:val="0B1F3A"/>
          <w:sz w:val="24"/>
        </w:rPr>
        <w:t>82.93% accuracy, 78.35% macro F1-score, and 0.9755 macro ROC-AUC</w:t>
      </w:r>
      <w:r>
        <w:rPr>
          <w:rFonts w:ascii="Times New Roman" w:hAnsi="Times New Roman"/>
          <w:b w:val="0"/>
          <w:i w:val="0"/>
          <w:color w:val="1E1E1E"/>
          <w:sz w:val="24"/>
        </w:rPr>
        <w:t>.</w:t>
      </w:r>
    </w:p>
    <w:p>
      <w:pPr>
        <w:pStyle w:val="ListNumber"/>
        <w:spacing w:before="0" w:after="40" w:line="276" w:lineRule="auto"/>
        <w:jc w:val="both"/>
      </w:pPr>
      <w:r>
        <w:rPr>
          <w:rFonts w:ascii="Times New Roman" w:hAnsi="Times New Roman"/>
          <w:b/>
          <w:i w:val="0"/>
          <w:color w:val="0B1F3A"/>
          <w:sz w:val="24"/>
        </w:rPr>
        <w:t>Controlled Domain Generalization Benchmarking</w:t>
      </w:r>
      <w:r>
        <w:rPr>
          <w:rFonts w:ascii="Times New Roman" w:hAnsi="Times New Roman"/>
          <w:b w:val="0"/>
          <w:i w:val="0"/>
          <w:color w:val="1E1E1E"/>
          <w:sz w:val="24"/>
        </w:rPr>
        <w:t>: Conducted the first controlled multi-paradigm comparative study benchmarking ERM, Deep CORAL, DANN, Frequency-Aware Preprocessing, and Hybrid architectures under a common DenseNet-121 backbone. On the evaluated V5 benchmark, frequency-aware preprocessing achieved higher internal test performance than the tested latent-space alignment approaches.</w:t>
      </w:r>
    </w:p>
    <w:p>
      <w:pPr>
        <w:pStyle w:val="ListNumber"/>
        <w:spacing w:before="0" w:after="40" w:line="276" w:lineRule="auto"/>
        <w:jc w:val="both"/>
      </w:pPr>
      <w:r>
        <w:rPr>
          <w:rFonts w:ascii="Times New Roman" w:hAnsi="Times New Roman"/>
          <w:b/>
          <w:i w:val="0"/>
          <w:color w:val="0B1F3A"/>
          <w:sz w:val="24"/>
        </w:rPr>
        <w:t>Transparent External Failure Characterization</w:t>
      </w:r>
      <w:r>
        <w:rPr>
          <w:rFonts w:ascii="Times New Roman" w:hAnsi="Times New Roman"/>
          <w:b w:val="0"/>
          <w:i w:val="0"/>
          <w:color w:val="1E1E1E"/>
          <w:sz w:val="24"/>
        </w:rPr>
        <w:t>: Executed an external generalization evaluation on the quarantined Montgomery County benchmark (n = 138), demonstrating that while Frequency-Aware DenseNet-121 retained 100% binary abnormal sensitivity, fine-grained classification collapsed. Pulmonary Nodule / Mass was the predominant predicted class (130 / 138 cases, 94.20%), with 8 cases classified as Pleural Effusion (5.80%) and no cases classified as Tuberculosis or Normal, consistent with substantial source-dependent differences in image characteristics between analog film digitizers and digital flat-panel detectors.</w:t>
      </w:r>
    </w:p>
    <w:p>
      <w:pPr>
        <w:pStyle w:val="ListNumber"/>
        <w:spacing w:before="0" w:after="40" w:line="276" w:lineRule="auto"/>
        <w:jc w:val="both"/>
      </w:pPr>
      <w:r>
        <w:rPr>
          <w:rFonts w:ascii="Times New Roman" w:hAnsi="Times New Roman"/>
          <w:b/>
          <w:i w:val="0"/>
          <w:color w:val="0B1F3A"/>
          <w:sz w:val="24"/>
        </w:rPr>
        <w:t>Two-Stage Defense-in-Depth CXR Gate</w:t>
      </w:r>
      <w:r>
        <w:rPr>
          <w:rFonts w:ascii="Times New Roman" w:hAnsi="Times New Roman"/>
          <w:b w:val="0"/>
          <w:i w:val="0"/>
          <w:color w:val="1E1E1E"/>
          <w:sz w:val="24"/>
        </w:rPr>
        <w:t xml:space="preserve">: Engineered a defensive input screening pipeline operating at selected production threshold </w:t>
      </w:r>
      <w:r>
        <w:rPr>
          <w:rFonts w:ascii="Times New Roman" w:hAnsi="Times New Roman"/>
          <w:b w:val="0"/>
          <w:i/>
          <w:color w:val="1E1E1E"/>
          <w:sz w:val="24"/>
        </w:rPr>
        <w:tab/>
        <w:t>au = 0.83</w:t>
      </w:r>
      <w:r>
        <w:rPr>
          <w:rFonts w:ascii="Times New Roman" w:hAnsi="Times New Roman"/>
          <w:b w:val="0"/>
          <w:i w:val="0"/>
          <w:color w:val="1E1E1E"/>
          <w:sz w:val="24"/>
        </w:rPr>
        <w:t xml:space="preserve"> (selected on the evaluation cohort) that achieved 100% specificity in rejecting non-radiographic uploads, reducing the risk of silent failure from non-radiographic inputs within the evaluated test cohort.</w:t>
      </w:r>
    </w:p>
    <w:p>
      <w:pPr>
        <w:pStyle w:val="ListNumber"/>
        <w:spacing w:before="0" w:after="40" w:line="276" w:lineRule="auto"/>
        <w:jc w:val="both"/>
      </w:pPr>
      <w:r>
        <w:rPr>
          <w:rFonts w:ascii="Times New Roman" w:hAnsi="Times New Roman"/>
          <w:b/>
          <w:i w:val="0"/>
          <w:color w:val="0B1F3A"/>
          <w:sz w:val="24"/>
        </w:rPr>
        <w:t>Full-Stack Clinical Decision Support System</w:t>
      </w:r>
      <w:r>
        <w:rPr>
          <w:rFonts w:ascii="Times New Roman" w:hAnsi="Times New Roman"/>
          <w:b w:val="0"/>
          <w:i w:val="0"/>
          <w:color w:val="1E1E1E"/>
          <w:sz w:val="24"/>
        </w:rPr>
        <w:t>: Built and verified an asynchronous, research-stage clinical decision-support prototype (FastAPI, React 18, SQLite) featuring real-time Grad-CAM explainability, emergency triage classification, and longitudinal case auditing, backed by 44 passing automated software tests.</w:t>
      </w:r>
    </w:p>
    <w:p>
      <w:pPr>
        <w:pStyle w:val="Heading2"/>
        <w:keepNext/>
        <w:spacing w:before="140" w:after="60"/>
        <w:jc w:val="left"/>
      </w:pPr>
      <w:r>
        <w:rPr>
          <w:rFonts w:ascii="Times New Roman" w:hAnsi="Times New Roman"/>
          <w:b/>
          <w:color w:val="185FA5"/>
          <w:sz w:val="28"/>
        </w:rPr>
        <w:t>16.2 Empirical Lessons from Domain Generalization Benchmarks</w:t>
      </w:r>
    </w:p>
    <w:p>
      <w:pPr>
        <w:spacing w:before="0" w:after="70" w:line="276" w:lineRule="auto"/>
        <w:jc w:val="both"/>
      </w:pPr>
      <w:r>
        <w:rPr>
          <w:rFonts w:ascii="Times New Roman" w:hAnsi="Times New Roman"/>
          <w:b w:val="0"/>
          <w:i w:val="0"/>
          <w:color w:val="1E1E1E"/>
          <w:sz w:val="24"/>
        </w:rPr>
        <w:t>The empirical findings of this research provide vital scientific guidance for translational medical AI:</w:t>
      </w:r>
    </w:p>
    <w:p>
      <w:pPr>
        <w:pStyle w:val="ListBullet"/>
        <w:spacing w:before="0" w:after="40" w:line="276" w:lineRule="auto"/>
        <w:jc w:val="both"/>
      </w:pPr>
      <w:r>
        <w:rPr>
          <w:rFonts w:ascii="Times New Roman" w:hAnsi="Times New Roman"/>
          <w:b/>
          <w:i w:val="0"/>
          <w:color w:val="0B1F3A"/>
          <w:sz w:val="24"/>
        </w:rPr>
        <w:t>Input-Space Biophysical Filtering vs. Latent Alignment</w:t>
      </w:r>
      <w:r>
        <w:rPr>
          <w:rFonts w:ascii="Times New Roman" w:hAnsi="Times New Roman"/>
          <w:b w:val="0"/>
          <w:i w:val="0"/>
          <w:color w:val="1E1E1E"/>
          <w:sz w:val="24"/>
        </w:rPr>
        <w:t>: Direct attenuation of high-frequency scanner noise via Gaussian spatial filtering proved more effective than complex latent covariance alignment (CORAL) or adversarial minimax games (DANN), achieving a +6.75% accuracy advantage over the ERM baseline on the internal test split.</w:t>
      </w:r>
    </w:p>
    <w:p>
      <w:pPr>
        <w:pStyle w:val="ListBullet"/>
        <w:spacing w:before="0" w:after="40" w:line="276" w:lineRule="auto"/>
        <w:jc w:val="both"/>
      </w:pPr>
      <w:r>
        <w:rPr>
          <w:rFonts w:ascii="Times New Roman" w:hAnsi="Times New Roman"/>
          <w:b/>
          <w:i w:val="0"/>
          <w:color w:val="0B1F3A"/>
          <w:sz w:val="24"/>
        </w:rPr>
        <w:t>Negative Finding on Hybrid Approaches</w:t>
      </w:r>
      <w:r>
        <w:rPr>
          <w:rFonts w:ascii="Times New Roman" w:hAnsi="Times New Roman"/>
          <w:b w:val="0"/>
          <w:i w:val="0"/>
          <w:color w:val="1E1E1E"/>
          <w:sz w:val="24"/>
        </w:rPr>
        <w:t>: Combining biophysical spatial filtering with latent CORAL loss was associated with significant performance degradation (-4.71% accuracy), consistent with the possibility that the additional CORAL constraint over-constrained the latent representation after frequency-aware preprocessing, though this mechanism is not established causally.</w:t>
      </w:r>
    </w:p>
    <w:p>
      <w:pPr>
        <w:pStyle w:val="ListBullet"/>
        <w:spacing w:before="0" w:after="40" w:line="276" w:lineRule="auto"/>
        <w:jc w:val="both"/>
      </w:pPr>
      <w:r>
        <w:rPr>
          <w:rFonts w:ascii="Times New Roman" w:hAnsi="Times New Roman"/>
          <w:b/>
          <w:i w:val="0"/>
          <w:color w:val="0B1F3A"/>
          <w:sz w:val="24"/>
        </w:rPr>
        <w:t>The Deceptive Nature of Internal Validation</w:t>
      </w:r>
      <w:r>
        <w:rPr>
          <w:rFonts w:ascii="Times New Roman" w:hAnsi="Times New Roman"/>
          <w:b w:val="0"/>
          <w:i w:val="0"/>
          <w:color w:val="1E1E1E"/>
          <w:sz w:val="24"/>
        </w:rPr>
        <w:t>: High internal accuracy on a curated multi-source benchmark does not guarantee generalizability under severe sensor shift, reinforcing the ethical imperative for transparent external failure reporting in medical machine learning.</w:t>
      </w:r>
    </w:p>
    <w:p>
      <w:pPr>
        <w:pStyle w:val="Heading2"/>
        <w:keepNext/>
        <w:spacing w:before="140" w:after="60"/>
        <w:jc w:val="left"/>
      </w:pPr>
      <w:r>
        <w:rPr>
          <w:rFonts w:ascii="Times New Roman" w:hAnsi="Times New Roman"/>
          <w:b/>
          <w:color w:val="185FA5"/>
          <w:sz w:val="28"/>
        </w:rPr>
        <w:t>16.3 Final Concluding Remarks</w:t>
      </w:r>
    </w:p>
    <w:p>
      <w:pPr>
        <w:spacing w:before="0" w:after="70" w:line="276" w:lineRule="auto"/>
        <w:jc w:val="both"/>
      </w:pPr>
      <w:r>
        <w:rPr>
          <w:rFonts w:ascii="Times New Roman" w:hAnsi="Times New Roman"/>
          <w:b w:val="0"/>
          <w:i w:val="0"/>
          <w:color w:val="1E1E1E"/>
          <w:sz w:val="24"/>
        </w:rPr>
        <w:t>The LungAI platform demonstrates that deep learning can provide rapid, interpretable, and reproducible decision support for multi-class thoracic disease triage when engineered with rigorous biophysical preprocessing and defensive input validation. While overcoming cross-scanner sensor shifts remains an open frontier in medical imaging, the architectural, empirical, and forensic contributions established in this dissertation provide an uncompromised scientific benchmark and an actionable roadmap toward safe, reliable, and clinically grounded artificial intelligence for diagnostic radiology.</w:t>
      </w:r>
    </w:p>
    <w:p>
      <w:r>
        <w:br w:type="page"/>
      </w:r>
    </w:p>
    <w:p>
      <w:pPr>
        <w:pStyle w:val="Heading1"/>
        <w:keepNext/>
        <w:spacing w:before="160" w:after="120"/>
        <w:jc w:val="center"/>
      </w:pPr>
      <w:r>
        <w:rPr>
          <w:rFonts w:ascii="Times New Roman" w:hAnsi="Times New Roman"/>
          <w:b/>
          <w:color w:val="0B1F3A"/>
          <w:sz w:val="32"/>
        </w:rPr>
        <w:t>REFERENCES</w:t>
      </w:r>
    </w:p>
    <w:p>
      <w:pPr>
        <w:spacing w:before="0" w:after="70" w:line="276" w:lineRule="auto"/>
        <w:jc w:val="both"/>
      </w:pPr>
      <w:r>
        <w:rPr>
          <w:rFonts w:ascii="Times New Roman" w:hAnsi="Times New Roman"/>
          <w:b w:val="0"/>
          <w:i w:val="0"/>
          <w:color w:val="1E1E1E"/>
          <w:sz w:val="24"/>
        </w:rPr>
        <w:t xml:space="preserve">[1] X. Wang, Y. Peng, L. Lu, Z. Lu, M. Bagheri, and R. M. Summers, "ChestX-ray8: Hospital-scale chest X-ray database and benchmarks on weakly-supervised classification and localization of common thorax diseases,"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2017, pp. 2097–2106.</w:t>
      </w:r>
    </w:p>
    <w:p>
      <w:pPr>
        <w:spacing w:before="0" w:after="70" w:line="276" w:lineRule="auto"/>
        <w:jc w:val="both"/>
      </w:pPr>
      <w:r>
        <w:rPr>
          <w:rFonts w:ascii="Times New Roman" w:hAnsi="Times New Roman"/>
          <w:b w:val="0"/>
          <w:i w:val="0"/>
          <w:color w:val="1E1E1E"/>
          <w:sz w:val="24"/>
        </w:rPr>
        <w:t xml:space="preserve">[2] P. Rajpurkar, J. Irvin, K. Zhu, B. Yang, H. Mehta, T. Duan, D. Ding, A. Bagul, R. L. Ball, C. Langlotz, K. Shpanskaya, M. P. Lungren, and A. Y. Ng, "CheXNet: Radiologist-level pneumonia detection on chest X-rays with deep learning," </w:t>
      </w:r>
      <w:r>
        <w:rPr>
          <w:rFonts w:ascii="Times New Roman" w:hAnsi="Times New Roman"/>
          <w:b w:val="0"/>
          <w:i/>
          <w:color w:val="1E1E1E"/>
          <w:sz w:val="24"/>
        </w:rPr>
        <w:t>arXiv preprint arXiv:1711.05225</w:t>
      </w:r>
      <w:r>
        <w:rPr>
          <w:rFonts w:ascii="Times New Roman" w:hAnsi="Times New Roman"/>
          <w:b w:val="0"/>
          <w:i w:val="0"/>
          <w:color w:val="1E1E1E"/>
          <w:sz w:val="24"/>
        </w:rPr>
        <w:t>, 2017.</w:t>
      </w:r>
    </w:p>
    <w:p>
      <w:pPr>
        <w:spacing w:before="0" w:after="70" w:line="276" w:lineRule="auto"/>
        <w:jc w:val="both"/>
      </w:pPr>
      <w:r>
        <w:rPr>
          <w:rFonts w:ascii="Times New Roman" w:hAnsi="Times New Roman"/>
          <w:b w:val="0"/>
          <w:i w:val="0"/>
          <w:color w:val="1E1E1E"/>
          <w:sz w:val="24"/>
        </w:rPr>
        <w:t xml:space="preserve">[3] G. Huang, Z. Liu, L. van der Maaten, and K. Q. Weinberger, "Densely connected convolutional networks,"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2017, pp. 4700–4708.</w:t>
      </w:r>
    </w:p>
    <w:p>
      <w:pPr>
        <w:spacing w:before="0" w:after="70" w:line="276" w:lineRule="auto"/>
        <w:jc w:val="both"/>
      </w:pPr>
      <w:r>
        <w:rPr>
          <w:rFonts w:ascii="Times New Roman" w:hAnsi="Times New Roman"/>
          <w:b w:val="0"/>
          <w:i w:val="0"/>
          <w:color w:val="1E1E1E"/>
          <w:sz w:val="24"/>
        </w:rPr>
        <w:t xml:space="preserve">[4] J. Irvin, P. Rajpurkar, M. Ko, Y. Yu, S. Ciurea-Ilcus, C. Chute, H. Marklund, B. Hepworth, P. Shen, K. Shpanskaya, M. P. Lungren, and A. Y. Ng, "CheXpert: A large chest radiograph dataset with uncertainty labels and expert comparison," in </w:t>
      </w:r>
      <w:r>
        <w:rPr>
          <w:rFonts w:ascii="Times New Roman" w:hAnsi="Times New Roman"/>
          <w:b w:val="0"/>
          <w:i/>
          <w:color w:val="1E1E1E"/>
          <w:sz w:val="24"/>
        </w:rPr>
        <w:t>Proc. AAAI Conf. Artif. Intell.</w:t>
      </w:r>
      <w:r>
        <w:rPr>
          <w:rFonts w:ascii="Times New Roman" w:hAnsi="Times New Roman"/>
          <w:b w:val="0"/>
          <w:i w:val="0"/>
          <w:color w:val="1E1E1E"/>
          <w:sz w:val="24"/>
        </w:rPr>
        <w:t>, 2019, vol. 33, no. 1, pp. 590–597.</w:t>
      </w:r>
    </w:p>
    <w:p>
      <w:pPr>
        <w:spacing w:before="0" w:after="70" w:line="276" w:lineRule="auto"/>
        <w:jc w:val="both"/>
      </w:pPr>
      <w:r>
        <w:rPr>
          <w:rFonts w:ascii="Times New Roman" w:hAnsi="Times New Roman"/>
          <w:b w:val="0"/>
          <w:i w:val="0"/>
          <w:color w:val="1E1E1E"/>
          <w:sz w:val="24"/>
        </w:rPr>
        <w:t xml:space="preserve">[5] A. E. W. Johnson, T. J. Pollard, S. J. Berkowitz, N. R. Greenbaum, M. P. Lungren, C. Deng, R. G. Mark, and S. Horng, "MIMIC-CXR: A large publicly available database of labeled chest radiographs," </w:t>
      </w:r>
      <w:r>
        <w:rPr>
          <w:rFonts w:ascii="Times New Roman" w:hAnsi="Times New Roman"/>
          <w:b w:val="0"/>
          <w:i/>
          <w:color w:val="1E1E1E"/>
          <w:sz w:val="24"/>
        </w:rPr>
        <w:t>Sci. Data</w:t>
      </w:r>
      <w:r>
        <w:rPr>
          <w:rFonts w:ascii="Times New Roman" w:hAnsi="Times New Roman"/>
          <w:b w:val="0"/>
          <w:i w:val="0"/>
          <w:color w:val="1E1E1E"/>
          <w:sz w:val="24"/>
        </w:rPr>
        <w:t>, vol. 6, no. 1, p. 317, 2019.</w:t>
      </w:r>
    </w:p>
    <w:p>
      <w:pPr>
        <w:spacing w:before="0" w:after="70" w:line="276" w:lineRule="auto"/>
        <w:jc w:val="both"/>
      </w:pPr>
      <w:r>
        <w:rPr>
          <w:rFonts w:ascii="Times New Roman" w:hAnsi="Times New Roman"/>
          <w:b w:val="0"/>
          <w:i w:val="0"/>
          <w:color w:val="1E1E1E"/>
          <w:sz w:val="24"/>
        </w:rPr>
        <w:t xml:space="preserve">[6] B. Sun and K. Saenko, "Deep CORAL: Correlation alignment for deep domain adaptation," in </w:t>
      </w:r>
      <w:r>
        <w:rPr>
          <w:rFonts w:ascii="Times New Roman" w:hAnsi="Times New Roman"/>
          <w:b w:val="0"/>
          <w:i/>
          <w:color w:val="1E1E1E"/>
          <w:sz w:val="24"/>
        </w:rPr>
        <w:t>Proc. Eur. Conf. Comput. Vis. (ECCV) Workshops</w:t>
      </w:r>
      <w:r>
        <w:rPr>
          <w:rFonts w:ascii="Times New Roman" w:hAnsi="Times New Roman"/>
          <w:b w:val="0"/>
          <w:i w:val="0"/>
          <w:color w:val="1E1E1E"/>
          <w:sz w:val="24"/>
        </w:rPr>
        <w:t>, 2016, pp. 443–450.</w:t>
      </w:r>
    </w:p>
    <w:p>
      <w:pPr>
        <w:spacing w:before="0" w:after="70" w:line="276" w:lineRule="auto"/>
        <w:jc w:val="both"/>
      </w:pPr>
      <w:r>
        <w:rPr>
          <w:rFonts w:ascii="Times New Roman" w:hAnsi="Times New Roman"/>
          <w:b w:val="0"/>
          <w:i w:val="0"/>
          <w:color w:val="1E1E1E"/>
          <w:sz w:val="24"/>
        </w:rPr>
        <w:t xml:space="preserve">[7] Y. Ganin, E. Ustinova, H. Ajakan, P. Germain, H. Larochelle, F. Laviolette, M. Marchand, and V. Lempitsky, "Domain-adversarial training of neural networks," </w:t>
      </w:r>
      <w:r>
        <w:rPr>
          <w:rFonts w:ascii="Times New Roman" w:hAnsi="Times New Roman"/>
          <w:b w:val="0"/>
          <w:i/>
          <w:color w:val="1E1E1E"/>
          <w:sz w:val="24"/>
        </w:rPr>
        <w:t>J. Mach. Learn. Res.</w:t>
      </w:r>
      <w:r>
        <w:rPr>
          <w:rFonts w:ascii="Times New Roman" w:hAnsi="Times New Roman"/>
          <w:b w:val="0"/>
          <w:i w:val="0"/>
          <w:color w:val="1E1E1E"/>
          <w:sz w:val="24"/>
        </w:rPr>
        <w:t>, vol. 17, no. 59, pp. 1–35, 2016.</w:t>
      </w:r>
    </w:p>
    <w:p>
      <w:pPr>
        <w:spacing w:before="0" w:after="70" w:line="276" w:lineRule="auto"/>
        <w:jc w:val="both"/>
      </w:pPr>
      <w:r>
        <w:rPr>
          <w:rFonts w:ascii="Times New Roman" w:hAnsi="Times New Roman"/>
          <w:b w:val="0"/>
          <w:i w:val="0"/>
          <w:color w:val="1E1E1E"/>
          <w:sz w:val="24"/>
        </w:rPr>
        <w:t xml:space="preserve">[8] J. R. Zech, M. A. Badgeley, M. Liu, A. B. Costa, J. J. Titano, and E. K. Oermann, "Variable generalization performance of a deep learning model to detect pneumonia in chest radiographs: A cross-sectional study," </w:t>
      </w:r>
      <w:r>
        <w:rPr>
          <w:rFonts w:ascii="Times New Roman" w:hAnsi="Times New Roman"/>
          <w:b w:val="0"/>
          <w:i/>
          <w:color w:val="1E1E1E"/>
          <w:sz w:val="24"/>
        </w:rPr>
        <w:t>PLOS Med.</w:t>
      </w:r>
      <w:r>
        <w:rPr>
          <w:rFonts w:ascii="Times New Roman" w:hAnsi="Times New Roman"/>
          <w:b w:val="0"/>
          <w:i w:val="0"/>
          <w:color w:val="1E1E1E"/>
          <w:sz w:val="24"/>
        </w:rPr>
        <w:t>, vol. 15, no. 11, p. e1002683, 2018.</w:t>
      </w:r>
    </w:p>
    <w:p>
      <w:pPr>
        <w:spacing w:before="0" w:after="70" w:line="276" w:lineRule="auto"/>
        <w:jc w:val="both"/>
      </w:pPr>
      <w:r>
        <w:rPr>
          <w:rFonts w:ascii="Times New Roman" w:hAnsi="Times New Roman"/>
          <w:b w:val="0"/>
          <w:i w:val="0"/>
          <w:color w:val="1E1E1E"/>
          <w:sz w:val="24"/>
        </w:rPr>
        <w:t xml:space="preserve">[9] A. J. DeGrave, J. D. Janizek, and S.-I. Lee, "AI for radiographic COVID-19 detection selects shortcuts over signal," </w:t>
      </w:r>
      <w:r>
        <w:rPr>
          <w:rFonts w:ascii="Times New Roman" w:hAnsi="Times New Roman"/>
          <w:b w:val="0"/>
          <w:i/>
          <w:color w:val="1E1E1E"/>
          <w:sz w:val="24"/>
        </w:rPr>
        <w:t>Nature Machine Intelligence</w:t>
      </w:r>
      <w:r>
        <w:rPr>
          <w:rFonts w:ascii="Times New Roman" w:hAnsi="Times New Roman"/>
          <w:b w:val="0"/>
          <w:i w:val="0"/>
          <w:color w:val="1E1E1E"/>
          <w:sz w:val="24"/>
        </w:rPr>
        <w:t>, vol. 3, pp. 610–619, 2021, doi: 10.1038/s42256-021-00338-7.</w:t>
      </w:r>
    </w:p>
    <w:p>
      <w:pPr>
        <w:spacing w:before="0" w:after="70" w:line="276" w:lineRule="auto"/>
        <w:jc w:val="both"/>
      </w:pPr>
      <w:r>
        <w:rPr>
          <w:rFonts w:ascii="Times New Roman" w:hAnsi="Times New Roman"/>
          <w:b w:val="0"/>
          <w:i w:val="0"/>
          <w:color w:val="1E1E1E"/>
          <w:sz w:val="24"/>
        </w:rPr>
        <w:t xml:space="preserve">[10] K. He, X. Zhang, S. Ren, and J. Sun, "Deep residual learning for image recognition,"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2016, pp. 770–778.</w:t>
      </w:r>
    </w:p>
    <w:p>
      <w:pPr>
        <w:spacing w:before="0" w:after="70" w:line="276" w:lineRule="auto"/>
        <w:jc w:val="both"/>
      </w:pPr>
      <w:r>
        <w:rPr>
          <w:rFonts w:ascii="Times New Roman" w:hAnsi="Times New Roman"/>
          <w:b w:val="0"/>
          <w:i w:val="0"/>
          <w:color w:val="1E1E1E"/>
          <w:sz w:val="24"/>
        </w:rPr>
        <w:t xml:space="preserve">[11] R. R. Selvaraju, M. Cogswell, A. Das, R. Vedantam, D. Parikh, and D. Batra, "Grad-CAM: Visual explanations from deep networks via gradient-based localization," in </w:t>
      </w:r>
      <w:r>
        <w:rPr>
          <w:rFonts w:ascii="Times New Roman" w:hAnsi="Times New Roman"/>
          <w:b w:val="0"/>
          <w:i/>
          <w:color w:val="1E1E1E"/>
          <w:sz w:val="24"/>
        </w:rPr>
        <w:t>Proc. IEEE Int. Conf. Comput. Vis. (ICCV)</w:t>
      </w:r>
      <w:r>
        <w:rPr>
          <w:rFonts w:ascii="Times New Roman" w:hAnsi="Times New Roman"/>
          <w:b w:val="0"/>
          <w:i w:val="0"/>
          <w:color w:val="1E1E1E"/>
          <w:sz w:val="24"/>
        </w:rPr>
        <w:t>, 2017, pp. 618–626.</w:t>
      </w:r>
    </w:p>
    <w:p>
      <w:pPr>
        <w:spacing w:before="0" w:after="70" w:line="276" w:lineRule="auto"/>
        <w:jc w:val="both"/>
      </w:pPr>
      <w:r>
        <w:rPr>
          <w:rFonts w:ascii="Times New Roman" w:hAnsi="Times New Roman"/>
          <w:b w:val="0"/>
          <w:i w:val="0"/>
          <w:color w:val="1E1E1E"/>
          <w:sz w:val="24"/>
        </w:rPr>
        <w:t xml:space="preserve">[12] A. Chattopadhay, A. Sarkar, P. Howlader, and V. N. Balasubramanian, "Grad-CAM++: Generalized gradient-based visual explanations for deep convolutional networks," in </w:t>
      </w:r>
      <w:r>
        <w:rPr>
          <w:rFonts w:ascii="Times New Roman" w:hAnsi="Times New Roman"/>
          <w:b w:val="0"/>
          <w:i/>
          <w:color w:val="1E1E1E"/>
          <w:sz w:val="24"/>
        </w:rPr>
        <w:t>Proc. IEEE Winter Conf. Appl. Comput. Vis. (WACV)</w:t>
      </w:r>
      <w:r>
        <w:rPr>
          <w:rFonts w:ascii="Times New Roman" w:hAnsi="Times New Roman"/>
          <w:b w:val="0"/>
          <w:i w:val="0"/>
          <w:color w:val="1E1E1E"/>
          <w:sz w:val="24"/>
        </w:rPr>
        <w:t>, 2018, pp. 839–847.</w:t>
      </w:r>
    </w:p>
    <w:p>
      <w:pPr>
        <w:spacing w:before="0" w:after="70" w:line="276" w:lineRule="auto"/>
        <w:jc w:val="both"/>
      </w:pPr>
      <w:r>
        <w:rPr>
          <w:rFonts w:ascii="Times New Roman" w:hAnsi="Times New Roman"/>
          <w:b w:val="0"/>
          <w:i w:val="0"/>
          <w:color w:val="1E1E1E"/>
          <w:sz w:val="24"/>
        </w:rPr>
        <w:t xml:space="preserve">[13] M. Arjovsky, L. Bottou, I. Gulrajani, and D. Lopez-Paz, "Invariant risk minimization," </w:t>
      </w:r>
      <w:r>
        <w:rPr>
          <w:rFonts w:ascii="Times New Roman" w:hAnsi="Times New Roman"/>
          <w:b w:val="0"/>
          <w:i/>
          <w:color w:val="1E1E1E"/>
          <w:sz w:val="24"/>
        </w:rPr>
        <w:t>arXiv preprint arXiv:1907.02893</w:t>
      </w:r>
      <w:r>
        <w:rPr>
          <w:rFonts w:ascii="Times New Roman" w:hAnsi="Times New Roman"/>
          <w:b w:val="0"/>
          <w:i w:val="0"/>
          <w:color w:val="1E1E1E"/>
          <w:sz w:val="24"/>
        </w:rPr>
        <w:t>, 2019.</w:t>
      </w:r>
    </w:p>
    <w:p>
      <w:pPr>
        <w:spacing w:before="0" w:after="70" w:line="276" w:lineRule="auto"/>
        <w:jc w:val="both"/>
      </w:pPr>
      <w:r>
        <w:rPr>
          <w:rFonts w:ascii="Times New Roman" w:hAnsi="Times New Roman"/>
          <w:b w:val="0"/>
          <w:i w:val="0"/>
          <w:color w:val="1E1E1E"/>
          <w:sz w:val="24"/>
        </w:rPr>
        <w:t xml:space="preserve">[14] S. Jaeger, S. Candemir, S. Antani, J. Wáng, P. X. Lu, and G. Thoma, "Two public chest X-ray datasets for computer-aided detection of pulmonary diseases," </w:t>
      </w:r>
      <w:r>
        <w:rPr>
          <w:rFonts w:ascii="Times New Roman" w:hAnsi="Times New Roman"/>
          <w:b w:val="0"/>
          <w:i/>
          <w:color w:val="1E1E1E"/>
          <w:sz w:val="24"/>
        </w:rPr>
        <w:t>Quant. Imaging Med. Surg.</w:t>
      </w:r>
      <w:r>
        <w:rPr>
          <w:rFonts w:ascii="Times New Roman" w:hAnsi="Times New Roman"/>
          <w:b w:val="0"/>
          <w:i w:val="0"/>
          <w:color w:val="1E1E1E"/>
          <w:sz w:val="24"/>
        </w:rPr>
        <w:t>, vol. 4, no. 6, pp. 475–477, 2014.</w:t>
      </w:r>
    </w:p>
    <w:p>
      <w:pPr>
        <w:spacing w:before="0" w:after="70" w:line="276" w:lineRule="auto"/>
        <w:jc w:val="both"/>
      </w:pPr>
      <w:r>
        <w:rPr>
          <w:rFonts w:ascii="Times New Roman" w:hAnsi="Times New Roman"/>
          <w:b w:val="0"/>
          <w:i w:val="0"/>
          <w:color w:val="1E1E1E"/>
          <w:sz w:val="24"/>
        </w:rPr>
        <w:t xml:space="preserve">[15] K. Simonyan and A. Zisserman, "Very deep convolutional networks for large-scale image recognition," in </w:t>
      </w:r>
      <w:r>
        <w:rPr>
          <w:rFonts w:ascii="Times New Roman" w:hAnsi="Times New Roman"/>
          <w:b w:val="0"/>
          <w:i/>
          <w:color w:val="1E1E1E"/>
          <w:sz w:val="24"/>
        </w:rPr>
        <w:t>Proc. Int. Conf. Learn. Represent. (ICLR)</w:t>
      </w:r>
      <w:r>
        <w:rPr>
          <w:rFonts w:ascii="Times New Roman" w:hAnsi="Times New Roman"/>
          <w:b w:val="0"/>
          <w:i w:val="0"/>
          <w:color w:val="1E1E1E"/>
          <w:sz w:val="24"/>
        </w:rPr>
        <w:t>, 2015, pp. 1–14.</w:t>
      </w:r>
    </w:p>
    <w:p>
      <w:pPr>
        <w:spacing w:before="0" w:after="70" w:line="276" w:lineRule="auto"/>
        <w:jc w:val="both"/>
      </w:pPr>
      <w:r>
        <w:rPr>
          <w:rFonts w:ascii="Times New Roman" w:hAnsi="Times New Roman"/>
          <w:b w:val="0"/>
          <w:i w:val="0"/>
          <w:color w:val="1E1E1E"/>
          <w:sz w:val="24"/>
        </w:rPr>
        <w:t xml:space="preserve">[16] A. C. Yu, B. Mohajer, and J. Eng, "External Validation of Deep Learning Algorithms for Radiologic Diagnosis: A Systematic Review," </w:t>
      </w:r>
      <w:r>
        <w:rPr>
          <w:rFonts w:ascii="Times New Roman" w:hAnsi="Times New Roman"/>
          <w:b w:val="0"/>
          <w:i/>
          <w:color w:val="1E1E1E"/>
          <w:sz w:val="24"/>
        </w:rPr>
        <w:t>Radiology: Artificial Intelligence</w:t>
      </w:r>
      <w:r>
        <w:rPr>
          <w:rFonts w:ascii="Times New Roman" w:hAnsi="Times New Roman"/>
          <w:b w:val="0"/>
          <w:i w:val="0"/>
          <w:color w:val="1E1E1E"/>
          <w:sz w:val="24"/>
        </w:rPr>
        <w:t>, vol. 4, no. 3, p. e210064, 2022.</w:t>
      </w:r>
    </w:p>
    <w:p>
      <w:pPr>
        <w:spacing w:before="0" w:after="70" w:line="276" w:lineRule="auto"/>
        <w:jc w:val="both"/>
      </w:pPr>
      <w:r>
        <w:rPr>
          <w:rFonts w:ascii="Times New Roman" w:hAnsi="Times New Roman"/>
          <w:b w:val="0"/>
          <w:i w:val="0"/>
          <w:color w:val="1E1E1E"/>
          <w:sz w:val="24"/>
        </w:rPr>
        <w:t xml:space="preserve">[17] S. M. McKinney, M. Sieniek, V. Godbole, J. Godwin, N. Antropova, H. Ashrafian, T. Back, M. Chesus, G. C. Corrado, A. Darzi, and M. Etemadi, "International evaluation of an AI system for breast cancer screening," </w:t>
      </w:r>
      <w:r>
        <w:rPr>
          <w:rFonts w:ascii="Times New Roman" w:hAnsi="Times New Roman"/>
          <w:b w:val="0"/>
          <w:i/>
          <w:color w:val="1E1E1E"/>
          <w:sz w:val="24"/>
        </w:rPr>
        <w:t>Nature</w:t>
      </w:r>
      <w:r>
        <w:rPr>
          <w:rFonts w:ascii="Times New Roman" w:hAnsi="Times New Roman"/>
          <w:b w:val="0"/>
          <w:i w:val="0"/>
          <w:color w:val="1E1E1E"/>
          <w:sz w:val="24"/>
        </w:rPr>
        <w:t>, vol. 577, no. 7788, pp. 89–94, 2020.</w:t>
      </w:r>
    </w:p>
    <w:p>
      <w:pPr>
        <w:spacing w:before="0" w:after="70" w:line="276" w:lineRule="auto"/>
        <w:jc w:val="both"/>
      </w:pPr>
      <w:r>
        <w:rPr>
          <w:rFonts w:ascii="Times New Roman" w:hAnsi="Times New Roman"/>
          <w:b w:val="0"/>
          <w:i w:val="0"/>
          <w:color w:val="1E1E1E"/>
          <w:sz w:val="24"/>
        </w:rPr>
        <w:t xml:space="preserve">[18] D. P. Kingma and J. Ba, "Adam: A method for stochastic optimization," in </w:t>
      </w:r>
      <w:r>
        <w:rPr>
          <w:rFonts w:ascii="Times New Roman" w:hAnsi="Times New Roman"/>
          <w:b w:val="0"/>
          <w:i/>
          <w:color w:val="1E1E1E"/>
          <w:sz w:val="24"/>
        </w:rPr>
        <w:t>Proc. Int. Conf. Learn. Represent. (ICLR)</w:t>
      </w:r>
      <w:r>
        <w:rPr>
          <w:rFonts w:ascii="Times New Roman" w:hAnsi="Times New Roman"/>
          <w:b w:val="0"/>
          <w:i w:val="0"/>
          <w:color w:val="1E1E1E"/>
          <w:sz w:val="24"/>
        </w:rPr>
        <w:t>, 2015, pp. 1–11.</w:t>
      </w:r>
    </w:p>
    <w:p>
      <w:pPr>
        <w:spacing w:before="0" w:after="70" w:line="276" w:lineRule="auto"/>
        <w:jc w:val="both"/>
      </w:pPr>
      <w:r>
        <w:rPr>
          <w:rFonts w:ascii="Times New Roman" w:hAnsi="Times New Roman"/>
          <w:b w:val="0"/>
          <w:i w:val="0"/>
          <w:color w:val="1E1E1E"/>
          <w:sz w:val="24"/>
        </w:rPr>
        <w:t xml:space="preserve">[19] A. Paszke, S. Gross, F. Massa, A. Lerer, J. Bradbury, G. Chanan, T. Killeen, Z. Lin, N. Gimelshteyn, L. Antiga, and A. Desmaison, "PyTorch: An imperative style, high-performance deep learning library," in </w:t>
      </w:r>
      <w:r>
        <w:rPr>
          <w:rFonts w:ascii="Times New Roman" w:hAnsi="Times New Roman"/>
          <w:b w:val="0"/>
          <w:i/>
          <w:color w:val="1E1E1E"/>
          <w:sz w:val="24"/>
        </w:rPr>
        <w:t>Adv. Neural Inf. Process. Syst. (NeurIPS)</w:t>
      </w:r>
      <w:r>
        <w:rPr>
          <w:rFonts w:ascii="Times New Roman" w:hAnsi="Times New Roman"/>
          <w:b w:val="0"/>
          <w:i w:val="0"/>
          <w:color w:val="1E1E1E"/>
          <w:sz w:val="24"/>
        </w:rPr>
        <w:t>, 2019, vol. 32, pp. 8024–8035.</w:t>
      </w:r>
    </w:p>
    <w:p>
      <w:pPr>
        <w:spacing w:before="0" w:after="70" w:line="276" w:lineRule="auto"/>
        <w:jc w:val="both"/>
      </w:pPr>
      <w:r>
        <w:rPr>
          <w:rFonts w:ascii="Times New Roman" w:hAnsi="Times New Roman"/>
          <w:b w:val="0"/>
          <w:i w:val="0"/>
          <w:color w:val="1E1E1E"/>
          <w:sz w:val="24"/>
        </w:rPr>
        <w:t xml:space="preserve">[20] C. Guo, G. Pleiss, Y. Sun, and K. Q. Weinberger, "On calibration of modern neural networks," in </w:t>
      </w:r>
      <w:r>
        <w:rPr>
          <w:rFonts w:ascii="Times New Roman" w:hAnsi="Times New Roman"/>
          <w:b w:val="0"/>
          <w:i/>
          <w:color w:val="1E1E1E"/>
          <w:sz w:val="24"/>
        </w:rPr>
        <w:t>Proc. Int. Conf. Mach. Learn. (ICML)</w:t>
      </w:r>
      <w:r>
        <w:rPr>
          <w:rFonts w:ascii="Times New Roman" w:hAnsi="Times New Roman"/>
          <w:b w:val="0"/>
          <w:i w:val="0"/>
          <w:color w:val="1E1E1E"/>
          <w:sz w:val="24"/>
        </w:rPr>
        <w:t>, 2017, pp. 1321–1330.</w:t>
      </w:r>
    </w:p>
    <w:p>
      <w:pPr>
        <w:spacing w:before="0" w:after="70" w:line="276" w:lineRule="auto"/>
        <w:jc w:val="both"/>
      </w:pPr>
      <w:r>
        <w:rPr>
          <w:rFonts w:ascii="Times New Roman" w:hAnsi="Times New Roman"/>
          <w:b w:val="0"/>
          <w:i w:val="0"/>
          <w:color w:val="1E1E1E"/>
          <w:sz w:val="24"/>
        </w:rPr>
        <w:t xml:space="preserve">[21] H. Robbins and S. Monro, "A stochastic approximation method," </w:t>
      </w:r>
      <w:r>
        <w:rPr>
          <w:rFonts w:ascii="Times New Roman" w:hAnsi="Times New Roman"/>
          <w:b w:val="0"/>
          <w:i/>
          <w:color w:val="1E1E1E"/>
          <w:sz w:val="24"/>
        </w:rPr>
        <w:t>Ann. Math. Stat.</w:t>
      </w:r>
      <w:r>
        <w:rPr>
          <w:rFonts w:ascii="Times New Roman" w:hAnsi="Times New Roman"/>
          <w:b w:val="0"/>
          <w:i w:val="0"/>
          <w:color w:val="1E1E1E"/>
          <w:sz w:val="24"/>
        </w:rPr>
        <w:t>, vol. 22, no. 3, pp. 400–407, 1951.</w:t>
      </w:r>
    </w:p>
    <w:p>
      <w:pPr>
        <w:spacing w:before="0" w:after="70" w:line="276" w:lineRule="auto"/>
        <w:jc w:val="both"/>
      </w:pPr>
      <w:r>
        <w:rPr>
          <w:rFonts w:ascii="Times New Roman" w:hAnsi="Times New Roman"/>
          <w:b w:val="0"/>
          <w:i w:val="0"/>
          <w:color w:val="1E1E1E"/>
          <w:sz w:val="24"/>
        </w:rPr>
        <w:t xml:space="preserve">[22] E. J. Topol, "High-performance medicine: The convergence of human and artificial intelligence," </w:t>
      </w:r>
      <w:r>
        <w:rPr>
          <w:rFonts w:ascii="Times New Roman" w:hAnsi="Times New Roman"/>
          <w:b w:val="0"/>
          <w:i/>
          <w:color w:val="1E1E1E"/>
          <w:sz w:val="24"/>
        </w:rPr>
        <w:t>Nat. Med.</w:t>
      </w:r>
      <w:r>
        <w:rPr>
          <w:rFonts w:ascii="Times New Roman" w:hAnsi="Times New Roman"/>
          <w:b w:val="0"/>
          <w:i w:val="0"/>
          <w:color w:val="1E1E1E"/>
          <w:sz w:val="24"/>
        </w:rPr>
        <w:t>, vol. 25, no. 1, pp. 44–56, 2019.</w:t>
      </w:r>
    </w:p>
    <w:p>
      <w:pPr>
        <w:spacing w:before="0" w:after="70" w:line="276" w:lineRule="auto"/>
        <w:jc w:val="both"/>
      </w:pPr>
      <w:r>
        <w:rPr>
          <w:rFonts w:ascii="Times New Roman" w:hAnsi="Times New Roman"/>
          <w:b w:val="0"/>
          <w:i w:val="0"/>
          <w:color w:val="1E1E1E"/>
          <w:sz w:val="24"/>
        </w:rPr>
        <w:t xml:space="preserve">[23] J. Deng, W. Dong, R. Socher, L. J. Li, K. Li, and L. Fei-Fei, "ImageNet: A large-scale hierarchical image database," in </w:t>
      </w:r>
      <w:r>
        <w:rPr>
          <w:rFonts w:ascii="Times New Roman" w:hAnsi="Times New Roman"/>
          <w:b w:val="0"/>
          <w:i/>
          <w:color w:val="1E1E1E"/>
          <w:sz w:val="24"/>
        </w:rPr>
        <w:t>Proc. IEEE Conf. Comput. Vis. Pattern Recognit. (CVPR)</w:t>
      </w:r>
      <w:r>
        <w:rPr>
          <w:rFonts w:ascii="Times New Roman" w:hAnsi="Times New Roman"/>
          <w:b w:val="0"/>
          <w:i w:val="0"/>
          <w:color w:val="1E1E1E"/>
          <w:sz w:val="24"/>
        </w:rPr>
        <w:t>, 2009, pp. 248–255.</w:t>
      </w:r>
    </w:p>
    <w:p>
      <w:pPr>
        <w:spacing w:before="0" w:after="70" w:line="276" w:lineRule="auto"/>
        <w:jc w:val="both"/>
      </w:pPr>
      <w:r>
        <w:rPr>
          <w:rFonts w:ascii="Times New Roman" w:hAnsi="Times New Roman"/>
          <w:b w:val="0"/>
          <w:i w:val="0"/>
          <w:color w:val="1E1E1E"/>
          <w:sz w:val="24"/>
        </w:rPr>
        <w:t xml:space="preserve">[24] S. Candemir, S. Jaeger, K. Palaniappan, J. P. Musco, R. K. Singh, Z. Xue, A. Karargyris, S. Antani, G. Thoma, and C. J. McDonald, "Lung segmentations in chest radiographs using anatomical atlases," </w:t>
      </w:r>
      <w:r>
        <w:rPr>
          <w:rFonts w:ascii="Times New Roman" w:hAnsi="Times New Roman"/>
          <w:b w:val="0"/>
          <w:i/>
          <w:color w:val="1E1E1E"/>
          <w:sz w:val="24"/>
        </w:rPr>
        <w:t>IEEE Trans. Med. Imaging</w:t>
      </w:r>
      <w:r>
        <w:rPr>
          <w:rFonts w:ascii="Times New Roman" w:hAnsi="Times New Roman"/>
          <w:b w:val="0"/>
          <w:i w:val="0"/>
          <w:color w:val="1E1E1E"/>
          <w:sz w:val="24"/>
        </w:rPr>
        <w:t>, vol. 33, no. 2, pp. 577–590, 2014.</w:t>
      </w:r>
    </w:p>
    <w:p>
      <w:pPr>
        <w:spacing w:before="0" w:after="70" w:line="276" w:lineRule="auto"/>
        <w:jc w:val="both"/>
      </w:pPr>
      <w:r>
        <w:rPr>
          <w:rFonts w:ascii="Times New Roman" w:hAnsi="Times New Roman"/>
          <w:b w:val="0"/>
          <w:i w:val="0"/>
          <w:color w:val="1E1E1E"/>
          <w:sz w:val="24"/>
        </w:rPr>
        <w:t xml:space="preserve">[25] L. A. Celi, J. Cellini, M. L. Charpignon, E. Chen, L. Vergara, F. J. P. Gomez, M. Kang, M. A. Khera, and J. Schwab, "Sources of bias in artificial intelligence that perpetuate healthcare disparities—A global review," </w:t>
      </w:r>
      <w:r>
        <w:rPr>
          <w:rFonts w:ascii="Times New Roman" w:hAnsi="Times New Roman"/>
          <w:b w:val="0"/>
          <w:i/>
          <w:color w:val="1E1E1E"/>
          <w:sz w:val="24"/>
        </w:rPr>
        <w:t>PLOS Digital Health</w:t>
      </w:r>
      <w:r>
        <w:rPr>
          <w:rFonts w:ascii="Times New Roman" w:hAnsi="Times New Roman"/>
          <w:b w:val="0"/>
          <w:i w:val="0"/>
          <w:color w:val="1E1E1E"/>
          <w:sz w:val="24"/>
        </w:rPr>
        <w:t>, vol. 1, no. 3, p. e0000022, 2022.</w:t>
      </w:r>
    </w:p>
    <w:p>
      <w:pPr>
        <w:spacing w:before="0" w:after="70" w:line="276" w:lineRule="auto"/>
        <w:jc w:val="both"/>
      </w:pPr>
      <w:r>
        <w:rPr>
          <w:rFonts w:ascii="Times New Roman" w:hAnsi="Times New Roman"/>
          <w:b w:val="0"/>
          <w:i w:val="0"/>
          <w:color w:val="1E1E1E"/>
          <w:sz w:val="24"/>
        </w:rPr>
        <w:t xml:space="preserve">[26] K. Zuiderveld, "Contrast limited adaptive histogram equalization," in </w:t>
      </w:r>
      <w:r>
        <w:rPr>
          <w:rFonts w:ascii="Times New Roman" w:hAnsi="Times New Roman"/>
          <w:b w:val="0"/>
          <w:i/>
          <w:color w:val="1E1E1E"/>
          <w:sz w:val="24"/>
        </w:rPr>
        <w:t>Graphics Gems IV</w:t>
      </w:r>
      <w:r>
        <w:rPr>
          <w:rFonts w:ascii="Times New Roman" w:hAnsi="Times New Roman"/>
          <w:b w:val="0"/>
          <w:i w:val="0"/>
          <w:color w:val="1E1E1E"/>
          <w:sz w:val="24"/>
        </w:rPr>
        <w:t>, San Diego: Academic Press, 1994, pp. 474–485.</w:t>
      </w:r>
    </w:p>
    <w:p>
      <w:pPr>
        <w:spacing w:before="0" w:after="70" w:line="276" w:lineRule="auto"/>
        <w:jc w:val="both"/>
      </w:pPr>
      <w:r>
        <w:rPr>
          <w:rFonts w:ascii="Times New Roman" w:hAnsi="Times New Roman"/>
          <w:b w:val="0"/>
          <w:i w:val="0"/>
          <w:color w:val="1E1E1E"/>
          <w:sz w:val="24"/>
        </w:rPr>
        <w:t xml:space="preserve">[27] N. Srivastava, G. Hinton, A. Krizhevsky, I. Sutskever, and R. Salakhutdinov, "Dropout: A simple way to prevent neural networks from overfitting," </w:t>
      </w:r>
      <w:r>
        <w:rPr>
          <w:rFonts w:ascii="Times New Roman" w:hAnsi="Times New Roman"/>
          <w:b w:val="0"/>
          <w:i/>
          <w:color w:val="1E1E1E"/>
          <w:sz w:val="24"/>
        </w:rPr>
        <w:t>J. Mach. Learn. Res.</w:t>
      </w:r>
      <w:r>
        <w:rPr>
          <w:rFonts w:ascii="Times New Roman" w:hAnsi="Times New Roman"/>
          <w:b w:val="0"/>
          <w:i w:val="0"/>
          <w:color w:val="1E1E1E"/>
          <w:sz w:val="24"/>
        </w:rPr>
        <w:t>, vol. 15, no. 1, pp. 1929–1958, 2014.</w:t>
      </w:r>
    </w:p>
    <w:p>
      <w:pPr>
        <w:spacing w:before="0" w:after="70" w:line="276" w:lineRule="auto"/>
        <w:jc w:val="both"/>
      </w:pPr>
      <w:r>
        <w:rPr>
          <w:rFonts w:ascii="Times New Roman" w:hAnsi="Times New Roman"/>
          <w:b w:val="0"/>
          <w:i w:val="0"/>
          <w:color w:val="1E1E1E"/>
          <w:sz w:val="24"/>
        </w:rPr>
        <w:t xml:space="preserve">[28] S. Ioffe and C. Szegedy, "Batch normalization: Accelerating deep network training by reducing internal covariate shift," in </w:t>
      </w:r>
      <w:r>
        <w:rPr>
          <w:rFonts w:ascii="Times New Roman" w:hAnsi="Times New Roman"/>
          <w:b w:val="0"/>
          <w:i/>
          <w:color w:val="1E1E1E"/>
          <w:sz w:val="24"/>
        </w:rPr>
        <w:t>Proc. Int. Conf. Mach. Learn. (ICML)</w:t>
      </w:r>
      <w:r>
        <w:rPr>
          <w:rFonts w:ascii="Times New Roman" w:hAnsi="Times New Roman"/>
          <w:b w:val="0"/>
          <w:i w:val="0"/>
          <w:color w:val="1E1E1E"/>
          <w:sz w:val="24"/>
        </w:rPr>
        <w:t>, 2015, pp. 448–456.</w:t>
      </w:r>
    </w:p>
    <w:p>
      <w:r>
        <w:br w:type="page"/>
      </w:r>
    </w:p>
    <w:p>
      <w:pPr>
        <w:pStyle w:val="Heading1"/>
        <w:keepNext/>
        <w:spacing w:before="160" w:after="120"/>
        <w:jc w:val="center"/>
      </w:pPr>
      <w:r>
        <w:rPr>
          <w:rFonts w:ascii="Times New Roman" w:hAnsi="Times New Roman"/>
          <w:b/>
          <w:color w:val="0B1F3A"/>
          <w:sz w:val="32"/>
        </w:rPr>
        <w:t>APPENDICES</w:t>
      </w:r>
    </w:p>
    <w:p>
      <w:pPr>
        <w:pStyle w:val="Heading2"/>
        <w:keepNext/>
        <w:spacing w:before="140" w:after="60"/>
        <w:jc w:val="left"/>
      </w:pPr>
      <w:r>
        <w:rPr>
          <w:rFonts w:ascii="Times New Roman" w:hAnsi="Times New Roman"/>
          <w:b/>
          <w:color w:val="185FA5"/>
          <w:sz w:val="28"/>
        </w:rPr>
        <w:t>Appendix A: Experimental Hardware &amp; Software Configurations</w:t>
      </w:r>
    </w:p>
    <w:p>
      <w:pPr>
        <w:spacing w:before="0" w:after="70" w:line="276" w:lineRule="auto"/>
        <w:jc w:val="both"/>
      </w:pPr>
      <w:r>
        <w:rPr>
          <w:rFonts w:ascii="Times New Roman" w:hAnsi="Times New Roman"/>
          <w:b w:val="0"/>
          <w:i w:val="0"/>
          <w:color w:val="1E1E1E"/>
          <w:sz w:val="24"/>
        </w:rPr>
        <w:t>All empirical training, domain adaptation experiments, and model benchmarking were executed on a dedicated high-performance workstation configured as follows:</w:t>
      </w:r>
    </w:p>
    <w:p>
      <w:pPr>
        <w:pStyle w:val="ListBullet"/>
        <w:spacing w:before="0" w:after="40" w:line="276" w:lineRule="auto"/>
        <w:jc w:val="both"/>
      </w:pPr>
      <w:r>
        <w:rPr>
          <w:rFonts w:ascii="Times New Roman" w:hAnsi="Times New Roman"/>
          <w:b/>
          <w:i w:val="0"/>
          <w:color w:val="0B1F3A"/>
          <w:sz w:val="24"/>
        </w:rPr>
        <w:t>CPU</w:t>
      </w:r>
      <w:r>
        <w:rPr>
          <w:rFonts w:ascii="Times New Roman" w:hAnsi="Times New Roman"/>
          <w:b w:val="0"/>
          <w:i w:val="0"/>
          <w:color w:val="1E1E1E"/>
          <w:sz w:val="24"/>
        </w:rPr>
        <w:t>: AMD Ryzen 9 5900X (12 Cores, 24 Threads, 3.7 GHz Base, 4.8 GHz Boost, 64 MB L3 Cache);</w:t>
      </w:r>
    </w:p>
    <w:p>
      <w:pPr>
        <w:pStyle w:val="ListBullet"/>
        <w:spacing w:before="0" w:after="40" w:line="276" w:lineRule="auto"/>
        <w:jc w:val="both"/>
      </w:pPr>
      <w:r>
        <w:rPr>
          <w:rFonts w:ascii="Times New Roman" w:hAnsi="Times New Roman"/>
          <w:b/>
          <w:i w:val="0"/>
          <w:color w:val="0B1F3A"/>
          <w:sz w:val="24"/>
        </w:rPr>
        <w:t>System Memory</w:t>
      </w:r>
      <w:r>
        <w:rPr>
          <w:rFonts w:ascii="Times New Roman" w:hAnsi="Times New Roman"/>
          <w:b w:val="0"/>
          <w:i w:val="0"/>
          <w:color w:val="1E1E1E"/>
          <w:sz w:val="24"/>
        </w:rPr>
        <w:t>: 64 GB DDR4-3200 MHz Dual-Channel RAM;</w:t>
      </w:r>
    </w:p>
    <w:p>
      <w:pPr>
        <w:pStyle w:val="ListBullet"/>
        <w:spacing w:before="0" w:after="40" w:line="276" w:lineRule="auto"/>
        <w:jc w:val="both"/>
      </w:pPr>
      <w:r>
        <w:rPr>
          <w:rFonts w:ascii="Times New Roman" w:hAnsi="Times New Roman"/>
          <w:b/>
          <w:i w:val="0"/>
          <w:color w:val="0B1F3A"/>
          <w:sz w:val="24"/>
        </w:rPr>
        <w:t>GPU</w:t>
      </w:r>
      <w:r>
        <w:rPr>
          <w:rFonts w:ascii="Times New Roman" w:hAnsi="Times New Roman"/>
          <w:b w:val="0"/>
          <w:i w:val="0"/>
          <w:color w:val="1E1E1E"/>
          <w:sz w:val="24"/>
        </w:rPr>
        <w:t>: NVIDIA GeForce RTX 3090 (24 GB GDDR6X VRAM, 10,496 CUDA Cores, Ampere Architecture, Driver Version 535.154.05, CUDA 12.1);</w:t>
      </w:r>
    </w:p>
    <w:p>
      <w:pPr>
        <w:pStyle w:val="ListBullet"/>
        <w:spacing w:before="0" w:after="40" w:line="276" w:lineRule="auto"/>
        <w:jc w:val="both"/>
      </w:pPr>
      <w:r>
        <w:rPr>
          <w:rFonts w:ascii="Times New Roman" w:hAnsi="Times New Roman"/>
          <w:b/>
          <w:i w:val="0"/>
          <w:color w:val="0B1F3A"/>
          <w:sz w:val="24"/>
        </w:rPr>
        <w:t>Storage</w:t>
      </w:r>
      <w:r>
        <w:rPr>
          <w:rFonts w:ascii="Times New Roman" w:hAnsi="Times New Roman"/>
          <w:b w:val="0"/>
          <w:i w:val="0"/>
          <w:color w:val="1E1E1E"/>
          <w:sz w:val="24"/>
        </w:rPr>
        <w:t>: 2 TB Samsung 980 PRO NVMe PCIe 4.0 M.2 SSD (Read: 7,000 MB/s, Write: 5,000 MB/s);</w:t>
      </w:r>
    </w:p>
    <w:p>
      <w:pPr>
        <w:pStyle w:val="ListBullet"/>
        <w:spacing w:before="0" w:after="40" w:line="276" w:lineRule="auto"/>
        <w:jc w:val="both"/>
      </w:pPr>
      <w:r>
        <w:rPr>
          <w:rFonts w:ascii="Times New Roman" w:hAnsi="Times New Roman"/>
          <w:b/>
          <w:i w:val="0"/>
          <w:color w:val="0B1F3A"/>
          <w:sz w:val="24"/>
        </w:rPr>
        <w:t>Host OS</w:t>
      </w:r>
      <w:r>
        <w:rPr>
          <w:rFonts w:ascii="Times New Roman" w:hAnsi="Times New Roman"/>
          <w:b w:val="0"/>
          <w:i w:val="0"/>
          <w:color w:val="1E1E1E"/>
          <w:sz w:val="24"/>
        </w:rPr>
        <w:t>: Microsoft Windows 11 Pro 64-bit / Ubuntu 22.04 LTS via WSL2;</w:t>
      </w:r>
    </w:p>
    <w:p>
      <w:pPr>
        <w:pStyle w:val="ListBullet"/>
        <w:spacing w:before="0" w:after="40" w:line="276" w:lineRule="auto"/>
        <w:jc w:val="both"/>
      </w:pPr>
      <w:r>
        <w:rPr>
          <w:rFonts w:ascii="Times New Roman" w:hAnsi="Times New Roman"/>
          <w:b/>
          <w:i w:val="0"/>
          <w:color w:val="0B1F3A"/>
          <w:sz w:val="24"/>
        </w:rPr>
        <w:t>Python Environment</w:t>
      </w:r>
      <w:r>
        <w:rPr>
          <w:rFonts w:ascii="Times New Roman" w:hAnsi="Times New Roman"/>
          <w:b w:val="0"/>
          <w:i w:val="0"/>
          <w:color w:val="1E1E1E"/>
          <w:sz w:val="24"/>
        </w:rPr>
        <w:t>: Python 3.12.2 64-bit virtual environment (</w:t>
      </w:r>
      <w:r>
        <w:rPr>
          <w:rFonts w:ascii="Times New Roman" w:hAnsi="Times New Roman"/>
          <w:b w:val="0"/>
          <w:i w:val="0"/>
          <w:color w:val="1E1E1E"/>
          <w:sz w:val="23"/>
        </w:rPr>
        <w:t>.venv</w:t>
      </w:r>
      <w:r>
        <w:rPr>
          <w:rFonts w:ascii="Times New Roman" w:hAnsi="Times New Roman"/>
          <w:b w:val="0"/>
          <w:i w:val="0"/>
          <w:color w:val="1E1E1E"/>
          <w:sz w:val="24"/>
        </w:rPr>
        <w:t>);</w:t>
      </w:r>
    </w:p>
    <w:p>
      <w:pPr>
        <w:pStyle w:val="ListBullet"/>
        <w:spacing w:before="0" w:after="40" w:line="276" w:lineRule="auto"/>
        <w:jc w:val="both"/>
      </w:pPr>
      <w:r>
        <w:rPr>
          <w:rFonts w:ascii="Times New Roman" w:hAnsi="Times New Roman"/>
          <w:b/>
          <w:i w:val="0"/>
          <w:color w:val="0B1F3A"/>
          <w:sz w:val="24"/>
        </w:rPr>
        <w:t>Core ML Libraries</w:t>
      </w:r>
      <w:r>
        <w:rPr>
          <w:rFonts w:ascii="Times New Roman" w:hAnsi="Times New Roman"/>
          <w:b w:val="0"/>
          <w:i w:val="0"/>
          <w:color w:val="1E1E1E"/>
          <w:sz w:val="24"/>
        </w:rPr>
        <w:t>: PyTorch 2.2.0+cu121, Torchvision 0.17.0+cu121, OpenCV 4.9.0.80, NumPy 1.26.4, SciPy 1.12.0, scikit-learn 1.4.1.post1, Matplotlib 3.8.3, python-docx 1.1.0, pypdf 4.1.0.</w:t>
      </w:r>
    </w:p>
    <w:p>
      <w:pPr>
        <w:pStyle w:val="Heading2"/>
        <w:keepNext/>
        <w:spacing w:before="140" w:after="60"/>
        <w:jc w:val="left"/>
      </w:pPr>
      <w:r>
        <w:rPr>
          <w:rFonts w:ascii="Times New Roman" w:hAnsi="Times New Roman"/>
          <w:b/>
          <w:color w:val="185FA5"/>
          <w:sz w:val="28"/>
        </w:rPr>
        <w:t>Appendix B: Mathematical Formulations of Domain Generalization Algorithms</w:t>
      </w:r>
    </w:p>
    <w:p>
      <w:pPr>
        <w:pStyle w:val="Heading3"/>
        <w:keepNext/>
        <w:spacing w:before="100" w:after="40"/>
        <w:jc w:val="left"/>
      </w:pPr>
      <w:r>
        <w:rPr>
          <w:rFonts w:ascii="Times New Roman" w:hAnsi="Times New Roman"/>
          <w:b/>
          <w:color w:val="1E1E1E"/>
          <w:sz w:val="28"/>
        </w:rPr>
        <w:t>Empirical Risk Minimization (ERM)</w:t>
      </w:r>
    </w:p>
    <w:p>
      <w:pPr>
        <w:spacing w:before="0" w:after="70" w:line="276" w:lineRule="auto"/>
        <w:jc w:val="both"/>
      </w:pPr>
      <w:r>
        <w:rPr>
          <w:rFonts w:ascii="Times New Roman" w:hAnsi="Times New Roman"/>
          <w:b w:val="0"/>
          <w:i w:val="0"/>
          <w:color w:val="1E1E1E"/>
          <w:sz w:val="24"/>
        </w:rPr>
        <w:t>Standard supervised training minimizes empirical classification risk over the aggregated multi-source dataset:</w:t>
      </w:r>
    </w:p>
    <w:p>
      <w:pPr>
        <w:spacing w:before="60" w:after="60"/>
        <w:jc w:val="center"/>
      </w:pPr>
      <w:r>
        <w:rPr>
          <w:rFonts w:ascii="Times New Roman" w:hAnsi="Times New Roman"/>
          <w:b w:val="0"/>
          <w:i/>
          <w:color w:val="0B1F3A"/>
          <w:sz w:val="23"/>
        </w:rPr>
        <w:t>\min_\theta \frac{1}{|\mathcal{D}_{train}|} \sum_{(x_i, y_i) \in \mathcal{D}_{train}} \mathcal{L}_{CE}(f_\theta(x_i), y_i)</w:t>
      </w:r>
    </w:p>
    <w:p>
      <w:pPr>
        <w:spacing w:before="0" w:after="70" w:line="276" w:lineRule="auto"/>
        <w:jc w:val="both"/>
      </w:pPr>
      <w:r>
        <w:rPr>
          <w:rFonts w:ascii="Times New Roman" w:hAnsi="Times New Roman"/>
          <w:b w:val="0"/>
          <w:i w:val="0"/>
          <w:color w:val="1E1E1E"/>
          <w:sz w:val="24"/>
        </w:rPr>
        <w:t xml:space="preserve">where </w:t>
      </w:r>
      <w:r>
        <w:rPr>
          <w:rFonts w:ascii="Times New Roman" w:hAnsi="Times New Roman"/>
          <w:b w:val="0"/>
          <w:i/>
          <w:color w:val="1E1E1E"/>
          <w:sz w:val="24"/>
        </w:rPr>
        <w:t>\mathcal{L}_{CE}</w:t>
      </w:r>
      <w:r>
        <w:rPr>
          <w:rFonts w:ascii="Times New Roman" w:hAnsi="Times New Roman"/>
          <w:b w:val="0"/>
          <w:i w:val="0"/>
          <w:color w:val="1E1E1E"/>
          <w:sz w:val="24"/>
        </w:rPr>
        <w:t xml:space="preserve"> denotes the standard multi-class cross-entropy loss function:</w:t>
      </w:r>
    </w:p>
    <w:p>
      <w:pPr>
        <w:spacing w:before="60" w:after="60"/>
        <w:jc w:val="center"/>
      </w:pPr>
      <w:r>
        <w:rPr>
          <w:rFonts w:ascii="Times New Roman" w:hAnsi="Times New Roman"/>
          <w:b w:val="0"/>
          <w:i/>
          <w:color w:val="0B1F3A"/>
          <w:sz w:val="23"/>
        </w:rPr>
        <w:t>\mathcal{L}_{CE}(p, y) = - \sum_{c=1}^C y_c \log p_c</w:t>
      </w:r>
    </w:p>
    <w:p>
      <w:pPr>
        <w:pStyle w:val="Heading3"/>
        <w:keepNext/>
        <w:spacing w:before="100" w:after="40"/>
        <w:jc w:val="left"/>
      </w:pPr>
      <w:r>
        <w:rPr>
          <w:rFonts w:ascii="Times New Roman" w:hAnsi="Times New Roman"/>
          <w:b/>
          <w:color w:val="1E1E1E"/>
          <w:sz w:val="28"/>
        </w:rPr>
        <w:t>Deep Correlation Alignment (Deep CORAL)</w:t>
      </w:r>
    </w:p>
    <w:p>
      <w:pPr>
        <w:spacing w:before="0" w:after="70" w:line="276" w:lineRule="auto"/>
        <w:jc w:val="both"/>
      </w:pPr>
      <w:r>
        <w:rPr>
          <w:rFonts w:ascii="Times New Roman" w:hAnsi="Times New Roman"/>
          <w:b w:val="0"/>
          <w:i w:val="0"/>
          <w:color w:val="1E1E1E"/>
          <w:sz w:val="24"/>
        </w:rPr>
        <w:t>Deep CORAL introduces an unsupervised second-order statistical alignment objective between source domain feature representations and target domain feature representations:</w:t>
      </w:r>
    </w:p>
    <w:p>
      <w:pPr>
        <w:spacing w:before="60" w:after="60"/>
        <w:jc w:val="center"/>
      </w:pPr>
      <w:r>
        <w:rPr>
          <w:rFonts w:ascii="Times New Roman" w:hAnsi="Times New Roman"/>
          <w:b w:val="0"/>
          <w:i/>
          <w:color w:val="0B1F3A"/>
          <w:sz w:val="23"/>
        </w:rPr>
        <w:t>\mathcal{L}_{total} = \mathcal{L}_{CE} + \lambda_{CORAL} \cdot \mathcal{L}_{CORAL}</w:t>
      </w:r>
    </w:p>
    <w:p>
      <w:pPr>
        <w:spacing w:before="0" w:after="70" w:line="276" w:lineRule="auto"/>
        <w:jc w:val="both"/>
      </w:pPr>
      <w:r>
        <w:rPr>
          <w:rFonts w:ascii="Times New Roman" w:hAnsi="Times New Roman"/>
          <w:b w:val="0"/>
          <w:i w:val="0"/>
          <w:color w:val="1E1E1E"/>
          <w:sz w:val="24"/>
        </w:rPr>
        <w:t>The covariance distance penalty is quantified by the squared Frobenius norm between sample covariance matrices:</w:t>
      </w:r>
    </w:p>
    <w:p>
      <w:pPr>
        <w:spacing w:before="60" w:after="60"/>
        <w:jc w:val="center"/>
      </w:pPr>
      <w:r>
        <w:rPr>
          <w:rFonts w:ascii="Times New Roman" w:hAnsi="Times New Roman"/>
          <w:b w:val="0"/>
          <w:i/>
          <w:color w:val="0B1F3A"/>
          <w:sz w:val="23"/>
        </w:rPr>
        <w:t>\mathcal{L}_{CORAL} = \frac{1}{4d^2} \| C_S - C_T \|_F^2 = \frac{1}{4d^2} \sum_{i=1}^d \sum_{j=1}^d (C_S^{i,j} - C_T^{i,j})^2</w:t>
      </w:r>
    </w:p>
    <w:p>
      <w:pPr>
        <w:spacing w:before="0" w:after="70" w:line="276" w:lineRule="auto"/>
        <w:jc w:val="both"/>
      </w:pPr>
      <w:r>
        <w:rPr>
          <w:rFonts w:ascii="Times New Roman" w:hAnsi="Times New Roman"/>
          <w:b w:val="0"/>
          <w:i w:val="0"/>
          <w:color w:val="1E1E1E"/>
          <w:sz w:val="24"/>
        </w:rPr>
        <w:t xml:space="preserve">where sample covariance matrices are computed from latent bottleneck activations </w:t>
      </w:r>
      <w:r>
        <w:rPr>
          <w:rFonts w:ascii="Times New Roman" w:hAnsi="Times New Roman"/>
          <w:b w:val="0"/>
          <w:i/>
          <w:color w:val="1E1E1E"/>
          <w:sz w:val="24"/>
        </w:rPr>
        <w:t>H \in \mathbb{R}^{n \times d}</w:t>
      </w:r>
      <w:r>
        <w:rPr>
          <w:rFonts w:ascii="Times New Roman" w:hAnsi="Times New Roman"/>
          <w:b w:val="0"/>
          <w:i w:val="0"/>
          <w:color w:val="1E1E1E"/>
          <w:sz w:val="24"/>
        </w:rPr>
        <w:t>:</w:t>
      </w:r>
    </w:p>
    <w:p>
      <w:pPr>
        <w:spacing w:before="60" w:after="60"/>
        <w:jc w:val="center"/>
      </w:pPr>
      <w:r>
        <w:rPr>
          <w:rFonts w:ascii="Times New Roman" w:hAnsi="Times New Roman"/>
          <w:b w:val="0"/>
          <w:i/>
          <w:color w:val="0B1F3A"/>
          <w:sz w:val="23"/>
        </w:rPr>
        <w:t>C_S = \frac{1}{n_S - 1} \left( H_S^T H_S - \frac{1}{n_S} (\mathbf{1}^T H_S)^T (\mathbf{1}^T H_S) \right)</w:t>
      </w:r>
    </w:p>
    <w:p>
      <w:pPr>
        <w:pStyle w:val="Heading3"/>
        <w:keepNext/>
        <w:spacing w:before="100" w:after="40"/>
        <w:jc w:val="left"/>
      </w:pPr>
      <w:r>
        <w:rPr>
          <w:rFonts w:ascii="Times New Roman" w:hAnsi="Times New Roman"/>
          <w:b/>
          <w:color w:val="1E1E1E"/>
          <w:sz w:val="28"/>
        </w:rPr>
        <w:t>Domain-Adversarial Neural Networks (DANN)</w:t>
      </w:r>
    </w:p>
    <w:p>
      <w:pPr>
        <w:spacing w:before="0" w:after="70" w:line="276" w:lineRule="auto"/>
        <w:jc w:val="both"/>
      </w:pPr>
      <w:r>
        <w:rPr>
          <w:rFonts w:ascii="Times New Roman" w:hAnsi="Times New Roman"/>
          <w:b w:val="0"/>
          <w:i w:val="0"/>
          <w:color w:val="1E1E1E"/>
          <w:sz w:val="24"/>
        </w:rPr>
        <w:t xml:space="preserve">DANN formulates domain adaptation as an adversarial minimax game between a feature extractor </w:t>
      </w:r>
      <w:r>
        <w:rPr>
          <w:rFonts w:ascii="Times New Roman" w:hAnsi="Times New Roman"/>
          <w:b w:val="0"/>
          <w:i/>
          <w:color w:val="1E1E1E"/>
          <w:sz w:val="24"/>
        </w:rPr>
        <w:t>G_f</w:t>
      </w:r>
      <w:r>
        <w:rPr>
          <w:rFonts w:ascii="Times New Roman" w:hAnsi="Times New Roman"/>
          <w:b w:val="0"/>
          <w:i w:val="0"/>
          <w:color w:val="1E1E1E"/>
          <w:sz w:val="24"/>
        </w:rPr>
        <w:t xml:space="preserve">, class label predictor </w:t>
      </w:r>
      <w:r>
        <w:rPr>
          <w:rFonts w:ascii="Times New Roman" w:hAnsi="Times New Roman"/>
          <w:b w:val="0"/>
          <w:i/>
          <w:color w:val="1E1E1E"/>
          <w:sz w:val="24"/>
        </w:rPr>
        <w:t>G_y</w:t>
      </w:r>
      <w:r>
        <w:rPr>
          <w:rFonts w:ascii="Times New Roman" w:hAnsi="Times New Roman"/>
          <w:b w:val="0"/>
          <w:i w:val="0"/>
          <w:color w:val="1E1E1E"/>
          <w:sz w:val="24"/>
        </w:rPr>
        <w:t xml:space="preserve">, and domain discriminator </w:t>
      </w:r>
      <w:r>
        <w:rPr>
          <w:rFonts w:ascii="Times New Roman" w:hAnsi="Times New Roman"/>
          <w:b w:val="0"/>
          <w:i/>
          <w:color w:val="1E1E1E"/>
          <w:sz w:val="24"/>
        </w:rPr>
        <w:t>G_d</w:t>
      </w:r>
      <w:r>
        <w:rPr>
          <w:rFonts w:ascii="Times New Roman" w:hAnsi="Times New Roman"/>
          <w:b w:val="0"/>
          <w:i w:val="0"/>
          <w:color w:val="1E1E1E"/>
          <w:sz w:val="24"/>
        </w:rPr>
        <w:t>:</w:t>
      </w:r>
    </w:p>
    <w:p>
      <w:pPr>
        <w:spacing w:before="60" w:after="60"/>
        <w:jc w:val="center"/>
      </w:pPr>
      <w:r>
        <w:rPr>
          <w:rFonts w:ascii="Times New Roman" w:hAnsi="Times New Roman"/>
          <w:b w:val="0"/>
          <w:i/>
          <w:color w:val="0B1F3A"/>
          <w:sz w:val="23"/>
        </w:rPr>
        <w:t>\mathcal{L}_{DANN}(\theta_f, \theta_y, \theta_d) = \frac{1}{n} \sum_{i=1}^n \mathcal{L}_y(G_y(G_f(x_i)), y_i) - \lambda \cdot \frac{1}{n} \sum_{i=1}^n \mathcal{L}_d(G_d(G_f(x_i)), d_i)</w:t>
      </w:r>
    </w:p>
    <w:p>
      <w:pPr>
        <w:spacing w:before="0" w:after="70" w:line="276" w:lineRule="auto"/>
        <w:jc w:val="both"/>
      </w:pPr>
      <w:r>
        <w:rPr>
          <w:rFonts w:ascii="Times New Roman" w:hAnsi="Times New Roman"/>
          <w:b w:val="0"/>
          <w:i w:val="0"/>
          <w:color w:val="1E1E1E"/>
          <w:sz w:val="24"/>
        </w:rPr>
        <w:t xml:space="preserve">Optimization is achieved through the Gradient Reversal Layer (GRL), represented by the pseudo-function </w:t>
      </w:r>
      <w:r>
        <w:rPr>
          <w:rFonts w:ascii="Times New Roman" w:hAnsi="Times New Roman"/>
          <w:b w:val="0"/>
          <w:i/>
          <w:color w:val="1E1E1E"/>
          <w:sz w:val="24"/>
        </w:rPr>
        <w:t>\mathcal{R}(x)</w:t>
      </w:r>
      <w:r>
        <w:rPr>
          <w:rFonts w:ascii="Times New Roman" w:hAnsi="Times New Roman"/>
          <w:b w:val="0"/>
          <w:i w:val="0"/>
          <w:color w:val="1E1E1E"/>
          <w:sz w:val="24"/>
        </w:rPr>
        <w:t>:</w:t>
      </w:r>
    </w:p>
    <w:p>
      <w:pPr>
        <w:spacing w:before="60" w:after="60"/>
        <w:jc w:val="center"/>
      </w:pPr>
      <w:r>
        <w:rPr>
          <w:rFonts w:ascii="Times New Roman" w:hAnsi="Times New Roman"/>
          <w:b w:val="0"/>
          <w:i/>
          <w:color w:val="0B1F3A"/>
          <w:sz w:val="23"/>
        </w:rPr>
        <w:t>\mathcal{R}(x) = x, \quad \frac{d\mathcal{R}}{dx} = - \lambda \mathbf{I}</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Pr>
          <w:rFonts w:ascii="Times New Roman" w:hAnsi="Times New Roman"/>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85FA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E1E1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