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dce1yk5g6di" w:id="0"/>
      <w:bookmarkEnd w:id="0"/>
      <w:r w:rsidDel="00000000" w:rsidR="00000000" w:rsidRPr="00000000">
        <w:rPr>
          <w:rtl w:val="0"/>
        </w:rPr>
        <w:t xml:space="preserve">CSC3107 Team Orchid AI Usage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report reflects on how generative AI shaped the team’s workflow in developing a redesigned visualisation of global agricultural export data. Across the project, the team used ChatGPT, Codex, and Gemini for debugging R code, exploring visualisation designs, refining annotations and scales, validating written explanations, and improving the Quarto report structure. The team used AI iteratively, with team members repeatedly testing, verifying , refining, or rejecting suggestions depending on whether the outputs matched the dataset, the code, and the assignment brief. ChatGPT supported visualisation design, Codex assisted with report structure and writing, and Gemini focused on data wrangling, validation, and alternative visualisation ideas.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Prompting Strategies</w:t>
      </w:r>
    </w:p>
    <w:p w:rsidR="00000000" w:rsidDel="00000000" w:rsidP="00000000" w:rsidRDefault="00000000" w:rsidRPr="00000000" w14:paraId="00000007">
      <w:pPr>
        <w:rPr/>
      </w:pPr>
      <w:r w:rsidDel="00000000" w:rsidR="00000000" w:rsidRPr="00000000">
        <w:rPr>
          <w:rtl w:val="0"/>
        </w:rPr>
        <w:t xml:space="preserve">The team generally used prompting in a deliberate, task-oriented, and iterative way rather than asking open-ended questions with minimal context. In most of the logs, prompts were framed around a specific problem that had already emerged in the project, such as whether to transform units in the dataset or only in the visual display, how to stop labels from being clipped, whether a particular explanation in a QMD file was valid, or how to verify that removed quantity categories added up to the expected difference. This mattered as the broad prompting would likely have produced generic advice, whereas the team needed responses grounded in the actual project objects, variable names, data units, and chart forms.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One recurring strategy was to provide enough technical content for the AI to reason about the exact plotting or cleaning issue. In the ChatGPT log, for example, the team asked whether export values should remain in the original unit and be displayed through scale_x_continuous() or whether a separate “billions” column should be created. (From the prompt “based on these dataset, should I use scale_x_continuous() or manually create new columns... – ChatGPT)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Follow-up prompts from the same AI conversation (From prompt and onwards “&gt; scale\_x\_continuous( labels \= billion\_axis, expand…” – ChatGPT) then narrowed the issue further by asking for explanations of particular scale arguments, annotation placement, label clipping, and whether quantity should be encoded through fill, colour, or a different aesthetic. This shows a prompting pattern in which the first question opened the design problem, and later prompts tested implementation details until a workable solution was identified or when a suggested solution allowed the team to get a step closer to the intended outcome.</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Codex was prompted in a different style where most prompts were explicitly tied to the rubric and the presentation logic of the report. Instead of chart mechanics, the team asked Codex to inspect project files, suggest missing headers, improve section flow, validate whether explanations matched the code, identify wording that was too strong, and recommend where citations should be placed (For example in prompt “where would be nice to add a citation to the original visualisation link or other required citation?” – Codex). This reflects an important prompting strategy: the team tailored the tool to the task. Rather than asking one system to do everything, it used different systems in ways that matched their strengths and the stage of work being done.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Influence on design decisions</w:t>
      </w:r>
    </w:p>
    <w:p w:rsidR="00000000" w:rsidDel="00000000" w:rsidP="00000000" w:rsidRDefault="00000000" w:rsidRPr="00000000" w14:paraId="00000013">
      <w:pPr>
        <w:rPr/>
      </w:pPr>
      <w:r w:rsidDel="00000000" w:rsidR="00000000" w:rsidRPr="00000000">
        <w:rPr>
          <w:rtl w:val="0"/>
        </w:rPr>
        <w:t xml:space="preserve">AI input affected several concrete design decisions in the final visualisation and documentation. One significant example was the treatment of export value units in the lollipop chart. ChatGPT advised keeping export values in their original unit of USD millions while using scale formatting to display them in billions for the readers (Based on response from prompt “based on these dataset, should I use scale_x_continuous() or manually create...” — ChatGPT). This avoided creating a redundant transformed column for a purely presentational purpose and preserved the integrity of the underlying data while making the axis easier to read on a poster.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second major design decision was regarding annotations. The team wanted the lollipop chart to communicate both export value and export quantity without forcing the reader to move constantly between the marks and the legend. ChatGPT suggested building a single formatted label that combined the two values and placing it beside each point with geom_text(), while also extending the x-axis range or adding expansion so labels would not be clipped (From prompt “I want to annotate each point in the lollipop chart to be `export_value | export_quantity` how can i do that? The values should be readable and be in consistent with the visualisation as well” – ChatGPT). This changed the design from a standard ranked chart into one that directly carried a second layer of quantitative context at the mark itself.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next design decision involved how export quantity should be encoded. ChatGPT explained why mapping quantity to fill did not work with the </w:t>
      </w:r>
      <w:r w:rsidDel="00000000" w:rsidR="00000000" w:rsidRPr="00000000">
        <w:rPr>
          <w:rtl w:val="0"/>
        </w:rPr>
        <w:t xml:space="preserve">geoms</w:t>
      </w:r>
      <w:r w:rsidDel="00000000" w:rsidR="00000000" w:rsidRPr="00000000">
        <w:rPr>
          <w:rtl w:val="0"/>
        </w:rPr>
        <w:t xml:space="preserve"> being used and suggested that either mapping quantity to colour across both stems and points or using filled point shapes (From prompt “I am trying to change my visualisation to show export quantities as the fill, I've got this result and I'm not sure why. My code is as …” – ChatGPT). It then argued that the cleanest poster design would likely keep stems neutral grey and use colour for the points, since stem length already encoded export value. That advice was able to help the team think more clearly about the division of visual labour in the chart.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fourth design decision concerned the colour scale for export quantity. Due to the team’s EDA suggesting that export quantity was strongly skewed to the right, ChatGPT recommended using a logarithmic colour transformation so that low-to–middle quantity values would not collapse into an indistinguishable pale band (Based on prompt “my current visualisation is as such, from the EDA I've found that our export quantities </w:t>
      </w:r>
      <w:r w:rsidDel="00000000" w:rsidR="00000000" w:rsidRPr="00000000">
        <w:rPr>
          <w:rtl w:val="0"/>
        </w:rPr>
        <w:t xml:space="preserve">volumn</w:t>
      </w:r>
      <w:r w:rsidDel="00000000" w:rsidR="00000000" w:rsidRPr="00000000">
        <w:rPr>
          <w:rtl w:val="0"/>
        </w:rPr>
        <w:t xml:space="preserve"> is right-skewed though log has been applied…” – ChatGPT). It also clarified that this transformation should apply to the colour mapping rather than to the stored data values themselves, and that the chart should disclose that quantity colour was shown on a logarithmic scale.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Lastly, AI also had a hand </w:t>
      </w:r>
      <w:r w:rsidDel="00000000" w:rsidR="00000000" w:rsidRPr="00000000">
        <w:rPr>
          <w:rtl w:val="0"/>
        </w:rPr>
        <w:t xml:space="preserve">in our</w:t>
      </w:r>
      <w:r w:rsidDel="00000000" w:rsidR="00000000" w:rsidRPr="00000000">
        <w:rPr>
          <w:rtl w:val="0"/>
        </w:rPr>
        <w:t xml:space="preserve"> written submission. Codex proposed a much clearer section structure for the main QMD and supporting files, including more explicit headers for project motivation, original visualisation assessment, redesign rationale, technical challenges, and the analysis pipeline. This allowed the team to better plan and understand the requirement of the final report for the team to approach more easily. (From prompt “Looking through only the orchid-assignment folder, excluding `_lollipop-visualization_trial.qmd`....” – Codex).</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Corrections and Rejections</w:t>
      </w:r>
    </w:p>
    <w:p w:rsidR="00000000" w:rsidDel="00000000" w:rsidP="00000000" w:rsidRDefault="00000000" w:rsidRPr="00000000" w14:paraId="0000001E">
      <w:pPr>
        <w:rPr/>
      </w:pPr>
      <w:r w:rsidDel="00000000" w:rsidR="00000000" w:rsidRPr="00000000">
        <w:rPr>
          <w:rtl w:val="0"/>
        </w:rPr>
        <w:t xml:space="preserve">The team ensured that AI outputs were not accepted unquestioningly and was critical of each solution that we applied into our works. One important example involved creating a "Rest of Region" category after selecting the top three exporters within each region. Gemini explained that using slice_max() removed all remaining rows before they could be aggregated, and therefore suggested replacing this approach with forcats::fct_lump_n(). Rather than accepting the generated code immediately, the team reviewed how the function grouped countries, tested it against the intended ranking behaviour, and verified that the resulting aggregation matched the project's design requirements before incorporating the approach. This is an example of how an AI suggestion should not be conveniently copied into our solution. If the string were wrong, the World total would have remained in the data and distort downstream aggregation. (From prompt “Currently I want to have a "Rest of the region" data for each region, where I have selected the top 3 from each region. This is how I have currently mutated the data…” – Gemini).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Another example in which AI negatively impacted a team’s flow involved verification of difference calculations after excluding mixed-unit product categories from the quantity worksheet. Gemini suggested a join-based comparison and then later identified a possible type in a mutate step that would cause the difference column to be zero regardless of the actual data. This was useful, but it also shows why AI outputs require careful verification, even when the overall method may be sensible, the implementation could still contain mistakes requiring manual inspection. (From prompt “Currently, there are countries with differences and no differences after filtering out the 4 product categories. However, is it possible to also show the 4 values of the categories we removed to ensure that it adds up to the difference in value? …” – Gemini).</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third type of correction emerged in the Codex log, especially when checking prose. Codex repeatedly flagged cases where the wording of the QMD files was either stronger than the code justified or not fully aligned with the actual logic. For example, it warned against saying a result “proved” a claim when it merely supported it, noted when a supposed wheat-specific example was not actually filtered to wheat in the code, and corrected explanations of how “Rest of World” was being computed. These moments are important because they show that the team used AI not only to generate text but also to critically evaluate its own claims.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fourth example of selective acceptance concerns alternative visualisation directions. Gemini proposed several more elaborate approaches, including patchwork-based diverging lollipop charts, negative-value tricks for butterfly layouts, faceted regional comparisons, and dynamic “Rest of Region” groupings. These suggestions were valuable for ideation, but not all of them were suitable for the final poster. Some would have increased technical complexity, introduced interpretive risks, or shifted the chart away from the clearer global ranking design the team intended and preferred. (For example in prompt “Isn't this negative trick not recommended as our two metrics have different units and magnitudes? Forcing them on the same x-axis may be misleading” – Gemini).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Ethical and Accountable Use</w:t>
      </w:r>
    </w:p>
    <w:p w:rsidR="00000000" w:rsidDel="00000000" w:rsidP="00000000" w:rsidRDefault="00000000" w:rsidRPr="00000000" w14:paraId="00000027">
      <w:pPr>
        <w:rPr/>
      </w:pPr>
      <w:r w:rsidDel="00000000" w:rsidR="00000000" w:rsidRPr="00000000">
        <w:rPr>
          <w:rtl w:val="0"/>
        </w:rPr>
        <w:t xml:space="preserve">The team's use of AI was most defensible as it treated outputs as provisional suggestions that the team would test and eventually worked off of, fully acknowledging the need for human checking after each AI solution implementation. Across the team's use of AI, team members repeatedly asked if explanations were valid, whether chart logic was grammatically and conceptually correct, and whether filters actually matched the data, and whether references were being placed appropriately. This reflects the assignment’s expectation that AI output should be accepted only when correct and helpful, refined when partly useful and rejected when misleading.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Verification was especially important because the project combined published claims, heterogenous units, and technical visualisation choices. ChatGPT’s suggestions about axis labels, colour scales, and annotation spacing were useful, but they still had to be tested against the actual poster layout and the behaviour of ggplot2 in the project code. Gemini’s data wrangling suggestions often included good logic for joins, filters, and grouped calculations, yet several of them required checking exact strings, variable names or edge cases in the real dataset. Codex’s writing suggestions improved the report, but the team still had to decide whether the proposed phrasing matched final implementation preferences. (For example, in prompt “I want to show 100% visibility of the data, I was told to include "Rest of the World" as an annotation instead of an actual data point in the visualisation. I have the data but currently, I am stuck on how i can add in that annotation…” –ChatGPT and prompt “Currently this is how I previously processed the data…” – Gemini).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Furthermore, to attribute contributions by each AI tool, which is also important for accountability. ChatGPT contributed mainly to chart design and annotation logic, Codex contributed to QMD structure and explanatory refinement, and Gemini contributed to data cleaning, validation logic, and redesign exploration.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Finally, the project revealed some practical limitations of AI. The tools were often helpful and fast, but they also tended to produce overconfident explanations, code that needed adaptation, or aesthetic options that did not fully apply to the needs of the project nor was part of the choice of the team. Therefore, AI’s role is not that it has the bigger hand in design choices of team but rather accelerated iteration, helped the team articulate alternatives, and improved the efficiency of debugging and writing, while leaving final responsibility for correctness, evidence, and design judgement on the team’s hand.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Total number of words: 1975</w:t>
      </w:r>
    </w:p>
    <w:sectPr>
      <w:headerReference r:id="rId6" w:type="default"/>
      <w:footerReference r:id="rId7" w:type="default"/>
      <w:pgSz w:h="15840" w:w="12240" w:orient="portrait"/>
      <w:pgMar w:bottom="777" w:top="148" w:left="1440" w:right="14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SG"/>
      </w:rPr>
    </w:rPrDefault>
    <w:pPrDefault>
      <w:pPr>
        <w:spacing w:after="2" w:line="254" w:lineRule="auto"/>
        <w:ind w:left="10" w:right="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240" w:lineRule="auto"/>
      <w:ind w:left="0" w:right="0"/>
      <w:jc w:val="center"/>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