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10:42:31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 and an off-ledger reserve of $1.2M.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</w:t>
      </w:r>
    </w:p>
    <w:p>
      <w:pPr>
        <w:pStyle w:val="Heading2"/>
      </w:pPr>
      <w:r>
        <w:t>DETAILED ANALYSIS</w:t>
      </w:r>
    </w:p>
    <w:p>
      <w:r>
        <w:t>The audit confirmed a Q3 surplus totaling $4,850,000. An additional $1.2M remains in an off-ledger reserve.</w:t>
      </w:r>
    </w:p>
    <w:p>
      <w:pPr>
        <w:pStyle w:val="Heading2"/>
      </w:pPr>
      <w:r>
        <w:t>RISKS AND OPERATIONAL ISSUES</w:t>
      </w:r>
    </w:p>
    <w:p>
      <w:r>
        <w:t>None identified based on provided information.</w:t>
      </w:r>
    </w:p>
    <w:p>
      <w:pPr>
        <w:pStyle w:val="Heading2"/>
      </w:pPr>
      <w:r>
        <w:t>RECOMMENDATIONS</w:t>
      </w:r>
    </w:p>
    <w:p>
      <w:r>
        <w:t>Further investigation is recommended to understand the allocation and utilization of the off-ledger reserve.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