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Summary Report - Conveyor_System_Routine_Maintenance_Procedure.pdf</w:t>
      </w:r>
    </w:p>
    <w:p>
      <w:r>
        <w:rPr>
          <w:i/>
          <w:color w:val="64748B"/>
          <w:sz w:val="17"/>
        </w:rPr>
        <w:t>AEGIS Sovereign Intelligence Report | Generated: 2026-09-04 15:07:33 UTC | Classification: CONFIDENTIAL</w:t>
      </w:r>
    </w:p>
    <w:p>
      <w:pPr>
        <w:pStyle w:val="Heading2"/>
      </w:pPr>
      <w:r>
        <w:t>EXECUTIVE SUMMARY</w:t>
      </w:r>
    </w:p>
    <w:p>
      <w:r>
        <w:t>This report summarizes the routine maintenance procedure for the MP-CNV-001 horizontal and inclined belt conveyor system, emphasizing safety through strict Lockout/Tagout (LOTO) protocols and Personal Protective Equipment (PPE) use. Maintenance activities, conducted at daily, weekly, monthly, quarterly, and annual frequencies, target critical components – drive units, belts, idlers, pulleys, and safety devices.  The system’s reliability hinges on consistent inspections and proactive component replacement to mitigate operational risks and maintain safe functionality.</w:t>
      </w:r>
    </w:p>
    <w:p>
      <w:pPr>
        <w:pStyle w:val="Heading2"/>
      </w:pPr>
      <w:r>
        <w:t>KEY FINDINGS</w:t>
      </w:r>
    </w:p>
    <w:p>
      <w:r>
        <w:t>The conveyor system maintenance procedure dictates a multi-tiered inspection schedule. Daily checks focus on operational integrity and immediate issues. Weekly checks delve deeper into belt and idler condition. Monthly checks involve lubrication, tension adjustment, and fastener checks. Quarterly checks target alignment and electrical component testing. Finally, annual checks necessitate critical component replacements, including gearbox oil, belt assessments, and bearing inspections. Alignment verification using a straightedge or laser alignment tool, coupled with temperature monitoring via infrared thermometer, are highlighted as important monitoring procedures.</w:t>
      </w:r>
    </w:p>
    <w:p>
      <w:pPr>
        <w:pStyle w:val="Heading2"/>
      </w:pPr>
      <w:r>
        <w:t>DETAILED ANALYSIS</w:t>
      </w:r>
    </w:p>
    <w:p>
      <w:r>
        <w:t>The document presents a comprehensive preventative maintenance strategy, clearly delineating responsibilities based on inspection frequency. The emphasis on LOTO and PPE reflects a commitment to worker safety, particularly considering the potential hazards associated with moving parts and electrical systems. The identified critical components – drive units, belts, idlers, pulleys – require targeted attention to minimize downtime and extend system lifespan. Regular log reviews are crucial for identifying trends and implementing corrective actions.  The system’s reliance on readily available spare parts inventory further contributes to operational continuity.</w:t>
      </w:r>
    </w:p>
    <w:p>
      <w:pPr>
        <w:pStyle w:val="Heading2"/>
      </w:pPr>
      <w:r>
        <w:t>RISKS AND OPERATIONAL ISSUES</w:t>
      </w:r>
    </w:p>
    <w:p>
      <w:r>
        <w:t>Several risks are directly addressed in the document. The primary hazard is contact with moving parts, necessitating strict adherence to LOTO procedures and consistent PPE usage. Guard integrity failures represent another significant risk, potentially leading to unintended system activation.  Furthermore, overheating bearings pose a threat to equipment longevity and require proactive monitoring.  Failure to follow the outlined maintenance schedule could result in unexpected downtime, component failures, and potential safety incidents.</w:t>
      </w:r>
    </w:p>
    <w:p>
      <w:pPr>
        <w:pStyle w:val="Heading2"/>
      </w:pPr>
      <w:r>
        <w:t>RECOMMENDATIONS</w:t>
      </w:r>
    </w:p>
    <w:p>
      <w:r>
        <w:t>To optimize the conveyor system’s performance and mitigate identified risks, the following actions are recommended: 1) Reinforce LOTO protocols and PPE usage through targeted training; 2) Maintain an adequate inventory of critical spare parts (conveyor belt sections, idler rollers, bearings, V-belts, fasteners); 3) Regularly review the maintenance log to identify recurring issues and trends; 4) Implement a formalized pulley/idler alignment verification protocol using measuring tools (straightedge/laser alignment tool); 5) Continue monitoring bearing temperatures using an Infrared thermometer. Supporting source references are Page 1 (Safety Procedures), Page 3 (Tools &amp; Equipment), Page 4 (Spare Parts Inventory), and Pages 2-12 (Step-by-Step Procedure).</w:t>
      </w:r>
    </w:p>
    <w:p>
      <w:pPr>
        <w:pStyle w:val="Heading2"/>
      </w:pPr>
      <w:r>
        <w:t>AUTHORITATIVE SOURCES &amp; CITATIONS</w:t>
      </w:r>
    </w:p>
    <w:tbl>
      <w:tblPr>
        <w:tblW w:type="auto" w:w="0"/>
        <w:tblLook w:firstColumn="1" w:firstRow="1" w:lastColumn="0" w:lastRow="0" w:noHBand="0" w:noVBand="1" w:val="04A0"/>
      </w:tblPr>
      <w:tblGrid>
        <w:gridCol w:w="2880"/>
        <w:gridCol w:w="2880"/>
        <w:gridCol w:w="2880"/>
      </w:tblGrid>
      <w:tr>
        <w:tc>
          <w:tcPr>
            <w:tcW w:type="dxa" w:w="2880"/>
          </w:tcPr>
          <w:p>
            <w:r>
              <w:t>Document Name</w:t>
            </w:r>
          </w:p>
        </w:tc>
        <w:tc>
          <w:tcPr>
            <w:tcW w:type="dxa" w:w="2880"/>
          </w:tcPr>
          <w:p>
            <w:r>
              <w:t>Referenced Pages</w:t>
            </w:r>
          </w:p>
        </w:tc>
        <w:tc>
          <w:tcPr>
            <w:tcW w:type="dxa" w:w="2880"/>
          </w:tcPr>
          <w:p>
            <w:r>
              <w:t>Relevance Status</w:t>
            </w:r>
          </w:p>
        </w:tc>
      </w:tr>
      <w:tr>
        <w:tc>
          <w:tcPr>
            <w:tcW w:type="dxa" w:w="2880"/>
          </w:tcPr>
          <w:p>
            <w:r>
              <w:t>Conveyor_System_Routine_Maintenance_Procedure.pdf</w:t>
            </w:r>
          </w:p>
        </w:tc>
        <w:tc>
          <w:tcPr>
            <w:tcW w:type="dxa" w:w="2880"/>
          </w:tcPr>
          <w:p>
            <w:r>
              <w:t>1, 2, 3, 4, 5, 6</w:t>
            </w:r>
          </w:p>
        </w:tc>
        <w:tc>
          <w:tcPr>
            <w:tcW w:type="dxa" w:w="2880"/>
          </w:tcPr>
          <w:p>
            <w: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