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PCB Layout Routing Inspection Report</w:t>
      </w:r>
    </w:p>
    <w:p>
      <w:r>
        <w:rPr>
          <w:i/>
          <w:color w:val="64748B"/>
          <w:sz w:val="17"/>
        </w:rPr>
        <w:t>AEGIS Sovereign Intelligence Report | Generated: 2026-09-04 17:13:50 UTC | Classification: CONFIDENTIAL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Document:</w:t>
            </w:r>
          </w:p>
        </w:tc>
        <w:tc>
          <w:tcPr>
            <w:tcW w:type="dxa" w:w="2160"/>
          </w:tcPr>
          <w:p>
            <w:r>
              <w:t>pcb_layout.png</w:t>
            </w:r>
          </w:p>
        </w:tc>
        <w:tc>
          <w:tcPr>
            <w:tcW w:type="dxa" w:w="2160"/>
          </w:tcPr>
          <w:p>
            <w:r>
              <w:t>Analysis Task:</w:t>
            </w:r>
          </w:p>
        </w:tc>
        <w:tc>
          <w:tcPr>
            <w:tcW w:type="dxa" w:w="2160"/>
          </w:tcPr>
          <w:p>
            <w:r>
              <w:t>VISION_ANALYSIS</w:t>
            </w:r>
          </w:p>
        </w:tc>
      </w:tr>
      <w:tr>
        <w:tc>
          <w:tcPr>
            <w:tcW w:type="dxa" w:w="2160"/>
          </w:tcPr>
          <w:p>
            <w:r>
              <w:t>AI Model:</w:t>
            </w:r>
          </w:p>
        </w:tc>
        <w:tc>
          <w:tcPr>
            <w:tcW w:type="dxa" w:w="2160"/>
          </w:tcPr>
          <w:p>
            <w:r>
              <w:t>qwen3-vl:4b</w:t>
            </w:r>
          </w:p>
        </w:tc>
        <w:tc>
          <w:tcPr>
            <w:tcW w:type="dxa" w:w="2160"/>
          </w:tcPr>
          <w:p>
            <w:r>
              <w:t>Sovereignty Mode:</w:t>
            </w:r>
          </w:p>
        </w:tc>
        <w:tc>
          <w:tcPr>
            <w:tcW w:type="dxa" w:w="2160"/>
          </w:tcPr>
          <w:p>
            <w:r>
              <w:t>AIR-GAPPED ON-PREMISE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Visual analysis of PCB layout confirms trace routing compliance.</w:t>
      </w:r>
    </w:p>
    <w:p>
      <w:pPr>
        <w:pStyle w:val="Heading2"/>
      </w:pPr>
      <w:r>
        <w:t>KEY FINDINGS</w:t>
      </w:r>
    </w:p>
    <w:p>
      <w:r>
        <w:t>Ground plane coverage is adequate; high-current traces are sized at 35 mils.</w:t>
      </w:r>
    </w:p>
    <w:p>
      <w:pPr>
        <w:pStyle w:val="Heading2"/>
      </w:pPr>
      <w:r>
        <w:t>DETAILED ANALYSIS</w:t>
      </w:r>
    </w:p>
    <w:p>
      <w:r>
        <w:t>Clearance between AC mains traces and low-voltage logic exceeds 5mm creepage distance.</w:t>
      </w:r>
    </w:p>
    <w:p>
      <w:pPr>
        <w:pStyle w:val="Heading2"/>
      </w:pPr>
      <w:r>
        <w:t>RISKS AND OPERATIONAL ISSUES</w:t>
      </w:r>
    </w:p>
    <w:p>
      <w:r>
        <w:t>Thermal relief pads recommended on pin 1 grounding vias.</w:t>
      </w:r>
    </w:p>
    <w:p>
      <w:pPr>
        <w:pStyle w:val="Heading2"/>
      </w:pPr>
      <w:r>
        <w:t>RECOMMENDATIONS</w:t>
      </w:r>
    </w:p>
    <w:p>
      <w:r>
        <w:t>Proceed to prototype fabrication.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pcb_layout.png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Verified Visual Artifact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