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Q3 Executive Summary</w:t>
      </w:r>
    </w:p>
    <w:p>
      <w:r>
        <w:rPr>
          <w:i/>
          <w:color w:val="64748B"/>
          <w:sz w:val="17"/>
        </w:rPr>
        <w:t>AEGIS Sovereign Intelligence Report | Generated: 2026-09-05 10:44:35 UTC | Classification: CONFIDENTIAL | Task: DOCUMENT_ANALYSIS | Model: gemma3:4b | Source: financial_audit_q3.txt</w:t>
      </w:r>
    </w:p>
    <w:p>
      <w:pPr>
        <w:pStyle w:val="Heading2"/>
      </w:pPr>
      <w:r>
        <w:t>EXECUTIVE SUMMARY</w:t>
      </w:r>
    </w:p>
    <w:p>
      <w:r>
        <w:t>The Q3 Financial Audit reveals a surplus of $4,850,000. An additional $1.2M is held in off-ledger reserves.</w:t>
      </w:r>
    </w:p>
    <w:p>
      <w:pPr>
        <w:pStyle w:val="Heading2"/>
      </w:pPr>
      <w:r>
        <w:t>KEY FINDINGS</w:t>
      </w:r>
    </w:p>
    <w:p>
      <w:r>
        <w:t>A financial surplus of $4,850,000 was identified during the Q3 audit.</w:t>
      </w:r>
    </w:p>
    <w:p>
      <w:pPr>
        <w:pStyle w:val="Heading2"/>
      </w:pPr>
      <w:r>
        <w:t>DETAILED ANALYSIS</w:t>
      </w:r>
    </w:p>
    <w:p>
      <w:r>
        <w:t>Off-ledger reserves totaling $1.2M were also noted.</w:t>
      </w:r>
    </w:p>
    <w:p>
      <w:pPr>
        <w:pStyle w:val="Heading2"/>
      </w:pPr>
      <w:r>
        <w:t>RISKS AND OPERATIONAL ISSUES</w:t>
      </w:r>
    </w:p>
    <w:p>
      <w:r>
        <w:t>None identified based on the provided document.</w:t>
      </w:r>
    </w:p>
    <w:p>
      <w:pPr>
        <w:pStyle w:val="Heading2"/>
      </w:pPr>
      <w:r>
        <w:t>RECOMMENDATIONS</w:t>
      </w:r>
    </w:p>
    <w:p>
      <w:r>
        <w:t>Further investigation into the nature and utilization of the off-ledger reserves is recommended.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financial_audit_q3.txt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