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09:19:16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reveals a surplus of $4,850,000. An off-ledger reserve of $1.2M is also present.</w:t>
      </w:r>
    </w:p>
    <w:p>
      <w:pPr>
        <w:pStyle w:val="Heading2"/>
      </w:pPr>
      <w:r>
        <w:t>KEY FINDINGS</w:t>
      </w:r>
    </w:p>
    <w:p>
      <w:r>
        <w:t>A financial surplus of $4,850,000 was identified during the Q3 audit. A separate off-ledger reserve totaling $1.2M was noted.</w:t>
      </w:r>
    </w:p>
    <w:p>
      <w:pPr>
        <w:pStyle w:val="Heading2"/>
      </w:pPr>
      <w:r>
        <w:t>DETAILED ANALYSIS</w:t>
      </w:r>
    </w:p>
    <w:p>
      <w:r>
        <w:t>The financial audit for Q3 concluded with a positive surplus. Furthermore, a designated off-ledger reserve account exists.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within the provided audit report.</w:t>
      </w:r>
    </w:p>
    <w:p>
      <w:pPr>
        <w:pStyle w:val="Heading2"/>
      </w:pPr>
      <w:r>
        <w:t>RECOMMENDATIONS</w:t>
      </w:r>
    </w:p>
    <w:p>
      <w:r>
        <w:t>Further investigation into the nature and purpose of the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