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09:18:44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$4,850,000. An additional $1.2M is held in off-ledger reserves.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</w:t>
      </w:r>
    </w:p>
    <w:p>
      <w:pPr>
        <w:pStyle w:val="Heading2"/>
      </w:pPr>
      <w:r>
        <w:t>DETAILED ANALYSIS</w:t>
      </w:r>
    </w:p>
    <w:p>
      <w:r>
        <w:t>The audit confirmed a financial surplus totaling $4,850,000. Furthermore, a reserve balance of $1.2M is maintained outside of standard accounting ledgers.</w:t>
      </w:r>
    </w:p>
    <w:p>
      <w:pPr>
        <w:pStyle w:val="Heading2"/>
      </w:pPr>
      <w:r>
        <w:t>RISKS AND OPERATIONAL ISSUES</w:t>
      </w:r>
    </w:p>
    <w:p>
      <w:r>
        <w:t>None identified based on the provided document.</w:t>
      </w:r>
    </w:p>
    <w:p>
      <w:pPr>
        <w:pStyle w:val="Heading2"/>
      </w:pPr>
      <w:r>
        <w:t>RECOMMENDATIONS</w:t>
      </w:r>
    </w:p>
    <w:p>
      <w:r>
        <w:t>No specific recommendations are provided based on the limited information available.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