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Q3 Executive Summary</w:t>
      </w:r>
    </w:p>
    <w:p>
      <w:r>
        <w:rPr>
          <w:i/>
          <w:color w:val="64748B"/>
          <w:sz w:val="17"/>
        </w:rPr>
        <w:t>AEGIS Sovereign Intelligence Report | Generated: 2026-09-05 09:20:22 UTC | Classification: CONFIDENTIAL | Task: DOCUMENT_ANALYSIS | Model: gemma3:4b | Source: financial_audit_q3.txt</w:t>
      </w:r>
    </w:p>
    <w:p>
      <w:pPr>
        <w:pStyle w:val="Heading2"/>
      </w:pPr>
      <w:r>
        <w:t>EXECUTIVE SUMMARY</w:t>
      </w:r>
    </w:p>
    <w:p>
      <w:r>
        <w:t>The Q3 audit revealed a surplus of $4,850,000. An additional $1.2M remains in an off-ledger reserve.</w:t>
      </w:r>
    </w:p>
    <w:p>
      <w:pPr>
        <w:pStyle w:val="Heading2"/>
      </w:pPr>
      <w:r>
        <w:t>KEY FINDINGS</w:t>
      </w:r>
    </w:p>
    <w:p>
      <w:r>
        <w:t>A financial surplus of $4,850,000 was identified for Q3.</w:t>
      </w:r>
    </w:p>
    <w:p>
      <w:pPr>
        <w:pStyle w:val="Heading2"/>
      </w:pPr>
      <w:r>
        <w:t>DETAILED ANALYSIS</w:t>
      </w:r>
    </w:p>
    <w:p>
      <w:r>
        <w:t>The financial audit for Q3 indicates a positive financial position, characterized by a surplus. A separate reserve of $1.2M was also noted.</w:t>
      </w:r>
    </w:p>
    <w:p>
      <w:pPr>
        <w:pStyle w:val="Heading2"/>
      </w:pPr>
      <w:r>
        <w:t>RISKS AND OPERATIONAL ISSUES</w:t>
      </w:r>
    </w:p>
    <w:p>
      <w:r>
        <w:t>None identified based on the provided evidence.</w:t>
      </w:r>
    </w:p>
    <w:p>
      <w:pPr>
        <w:pStyle w:val="Heading2"/>
      </w:pPr>
      <w:r>
        <w:t>RECOMMENDATIONS</w:t>
      </w:r>
    </w:p>
    <w:p>
      <w:r>
        <w:t>Further investigation is recommended to understand the composition and utilization of the $1.2M off-ledger reserve.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financial_audit_q3.txt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