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SIH 2026 Technical Specification &amp; Implementation Plan</w:t>
      </w:r>
    </w:p>
    <w:p>
      <w:r>
        <w:rPr>
          <w:i/>
          <w:color w:val="64748B"/>
          <w:sz w:val="17"/>
        </w:rPr>
        <w:t>AEGIS Sovereign Intelligence Report | Generated: 2026-09-02 15:23:47 UTC | Classification: CONFIDENTIAL</w:t>
      </w:r>
    </w:p>
    <w:p>
      <w:pPr>
        <w:pStyle w:val="Heading2"/>
      </w:pPr>
      <w:r>
        <w:t>EXECUTIVE SUMMARY</w:t>
      </w:r>
    </w:p>
    <w:p>
      <w:r>
        <w:t>Aegis proposes the ‘Sovereign On-Premise Agentic AI Workbench’ – a solution designed for confidential industrial work utilizing open-weight, multimodal LLMs. This system provides 100% on-premise processing, intelligent model routing, agentic workflows (Plan -&gt; Execute -&gt; Verify -&gt; Re-plan), and supports multimodal document understanding (PDFs, Images, Drawings). The core differentiator lies in data sovereignty, local RAG, sandboxed tool execution, and verified deliverables, enabling secure and efficient document analysis and code generation within an organization's network. The system dynamically loads and unloads models based on task requirements, utilizing a quantized 7B/8B class text and code LLMs alongside a vision/OCR model.</w:t>
      </w:r>
    </w:p>
    <w:p>
      <w:pPr>
        <w:pStyle w:val="Heading2"/>
      </w:pPr>
      <w:r>
        <w:t>KEY FINDINGS</w:t>
      </w:r>
    </w:p>
    <w:p>
      <w:r>
        <w:t>The ‘Sovereign AI Workbench’ emphasizes data sovereignty by ensuring all processing and data storage remain within the organization’s network. Its agentic workflow enables autonomous task completion, combining intelligent planning with execution and verification. The system’s multimodal capabilities allow it to process a wide range of document types including PDFs, images, scans, and drawings. Technical architecture includes a secure web UI, an agent controller, a model registry &amp; manager, and dynamic model loading. The model registry uses a task-aware selection and manages quantized 7B/8B class text and code LLMs alongside a vision/OCR model. It integrates tool calling, RAG, and coding workflows.</w:t>
      </w:r>
    </w:p>
    <w:p>
      <w:pPr>
        <w:pStyle w:val="Heading2"/>
      </w:pPr>
      <w:r>
        <w:t>DETAILED ANALYSIS</w:t>
      </w:r>
    </w:p>
    <w:p>
      <w:r>
        <w:t>The proposed solution employs a modular architecture with dynamic model loading to optimize resource utilization. The system’s core components are the Agent Controller, responsible for query understanding and task planning, the Document Workflow (PDF summarization, RAG) and Coding Workflow (code generation, execution, debugging). Model selection is driven by task requirements.  The system utilizes a local RAG (Retrieval-Augmented Generation) leveraging organizational knowledge. Sandboxed tool execution ensures safe code generation and verification, integrating with local tools and APIs.  The system validates outputs (accuracy, safety, consistency) and can re-plan if needed.  The technical approach includes a private network/on-premise deployment, ensuring data isolation and auditability. The system prioritizes a user-friendly interface (Secure Web UI) for upload, chat, and interaction.</w:t>
      </w:r>
    </w:p>
    <w:p>
      <w:pPr>
        <w:pStyle w:val="Heading2"/>
      </w:pPr>
      <w:r>
        <w:t>RISKS AND OPERATIONAL ISSUES</w:t>
      </w:r>
    </w:p>
    <w:p>
      <w:r>
        <w:t>Potential risks include GPU limits and contention, requiring careful resource management. The OCR + VLM + Document Pipeline presents a complexity. Hallucination of the LLM and data leakage are significant concerns necessitating rigorous validation and controls.  Operational challenges include the need for specialized technical expertise to manage the on-premise infrastructure and model configurations. The complexity of handling multimodal data streams and integrating diverse models requires robust monitoring and maintenance. The reliance on a quantized model could affect performance depending on the task.</w:t>
      </w:r>
    </w:p>
    <w:p>
      <w:pPr>
        <w:pStyle w:val="Heading2"/>
      </w:pPr>
      <w:r>
        <w:t>RECOMMENDATIONS</w:t>
      </w:r>
    </w:p>
    <w:p>
      <w:r>
        <w:t>To mitigate risks, Aegis recommends implementing robust monitoring and alerting for GPU utilization and model performance. A comprehensive data validation process should be established to minimize hallucination. Implementing strong data governance policies and audit trails is crucial for ensuring data security and compliance.  Prioritization should be given to a phased deployment, starting with pilot projects to refine the system and optimize performance. Continuous integration and continuous delivery (CI/CD) practices should be adopted for model updates and maintenance.  Investment in training personnel for system administration and model management is vital for long-term operational success. Further research into the fine-tuning and optimization of the quantized LLMs is recommended to improve accuracy and efficiency.</w:t>
      </w:r>
    </w:p>
    <w:p>
      <w:pPr>
        <w:pStyle w:val="Heading2"/>
      </w:pPr>
      <w:r>
        <w:t>AUTHORITATIVE SOURCES &amp; CITATIONS</w:t>
      </w:r>
    </w:p>
    <w:tbl>
      <w:tblPr>
        <w:tblW w:type="auto" w:w="0"/>
        <w:tblLook w:firstColumn="1" w:firstRow="1" w:lastColumn="0" w:lastRow="0" w:noHBand="0" w:noVBand="1" w:val="04A0"/>
      </w:tblPr>
      <w:tblGrid>
        <w:gridCol w:w="2880"/>
        <w:gridCol w:w="2880"/>
        <w:gridCol w:w="2880"/>
      </w:tblGrid>
      <w:tr>
        <w:tc>
          <w:tcPr>
            <w:tcW w:type="dxa" w:w="2880"/>
          </w:tcPr>
          <w:p>
            <w:r>
              <w:t>Document Name</w:t>
            </w:r>
          </w:p>
        </w:tc>
        <w:tc>
          <w:tcPr>
            <w:tcW w:type="dxa" w:w="2880"/>
          </w:tcPr>
          <w:p>
            <w:r>
              <w:t>Referenced Pages</w:t>
            </w:r>
          </w:p>
        </w:tc>
        <w:tc>
          <w:tcPr>
            <w:tcW w:type="dxa" w:w="2880"/>
          </w:tcPr>
          <w:p>
            <w:r>
              <w:t>Relevance Status</w:t>
            </w:r>
          </w:p>
        </w:tc>
      </w:tr>
      <w:tr>
        <w:tc>
          <w:tcPr>
            <w:tcW w:type="dxa" w:w="2880"/>
          </w:tcPr>
          <w:p>
            <w:r>
              <w:t>SIH2026ppt.pdf</w:t>
            </w:r>
          </w:p>
        </w:tc>
        <w:tc>
          <w:tcPr>
            <w:tcW w:type="dxa" w:w="2880"/>
          </w:tcPr>
          <w:p>
            <w:r>
              <w:t>1, 2, 3, 4, 5, 6, 7</w:t>
            </w:r>
          </w:p>
        </w:tc>
        <w:tc>
          <w:tcPr>
            <w:tcW w:type="dxa" w:w="2880"/>
          </w:tcPr>
          <w:p>
            <w: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