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40"/>
        </w:rPr>
        <w:t>No-Egress Verification DOCX Report</w:t>
      </w:r>
    </w:p>
    <w:p>
      <w:r>
        <w:rPr>
          <w:i/>
          <w:color w:val="64748B"/>
          <w:sz w:val="17"/>
        </w:rPr>
        <w:t>AEGIS Sovereign Intelligence Report | Generated: 2026-09-02 16:15:28 UTC | Classification: CONFIDENTIAL</w:t>
      </w:r>
    </w:p>
    <w:p>
      <w:pPr>
        <w:pStyle w:val="Heading2"/>
      </w:pPr>
      <w:r>
        <w:t>EXECUTIVE SUMMARY</w:t>
      </w:r>
    </w:p>
    <w:p>
      <w:r>
        <w:t>Aegis proposes a sovereign on-premise AI workbench utilizing open-weight multimodal LLMs for confidential industrial work. This solution prioritizes data security through 100% local processing, intelligent model routing, and agentic workflows. Key features include multimodal document understanding (PDFs, images, scans, drawings), local RAG, sandboxed tool execution, and verified deliverables. The system dynamically loads models based on task requirements and offers a modular architecture for future-ready integration.</w:t>
      </w:r>
    </w:p>
    <w:p>
      <w:pPr>
        <w:pStyle w:val="Heading2"/>
      </w:pPr>
      <w:r>
        <w:t>KEY FINDINGS</w:t>
      </w:r>
    </w:p>
    <w:p>
      <w:r>
        <w:t>The Sovereign AI Workbench focuses on secure, localized AI processing, eliminating reliance on cloud AI APIs. The core functionality includes: 100% on-premise execution, intelligent model routing (Plan → Execute → Verify → Re-plan), multimodal document understanding (text, PDFs, scans, images, drawings), local RAG utilizing organizational knowledge, sandboxed local tool execution, and verified real-world deliverables. The system employs quantized 7B/8B class LLMs for text and code, with a vision/OCR model also included. Dynamic model loading (1. Task Arrives, 2. Check Required Model, 3. Load If Needed, 4. Execute, 5. Unload If Idle) optimizes resource utilization. The system’s uniqueness stems from its agentic workflows and ability to operate in air-gapped environments.</w:t>
      </w:r>
    </w:p>
    <w:p>
      <w:pPr>
        <w:pStyle w:val="Heading2"/>
      </w:pPr>
      <w:r>
        <w:t>DETAILED ANALYSIS</w:t>
      </w:r>
    </w:p>
    <w:p>
      <w:r>
        <w:t>The system’s architecture is designed for maximum security and control. It utilizes a secure web UI for user interaction, an agent controller for query understanding and task planning, and a document workflow that incorporates RAG and coding workflows. Model selection is task-aware and dynamic, utilizing a model registry and manager to handle loading and unloading of models. The system is built on a private network/on-premise infrastructure and supports multi-modal inputs (text, PDFs, scans, images, drawings) through OCR and vision models. Quantization of LLMs is employed to reduce resource consumption. A key operational element is the verification process, ensuring accuracy, safety, and consistency of generated outputs.</w:t>
      </w:r>
    </w:p>
    <w:p>
      <w:pPr>
        <w:pStyle w:val="Heading2"/>
      </w:pPr>
      <w:r>
        <w:t>RISKS AND OPERATIONAL ISSUES</w:t>
      </w:r>
    </w:p>
    <w:p>
      <w:r>
        <w:t>Potential operational risks include GPU limits and contention, the complexity of the OCR + VLM + Document Pipeline, and the possibility of hallucination or data leakage. Mitigation strategies involve local processing, network isolation, audit logs, RAG with source grounding and validation, a model router and registry, and quantization. Complex document handling presents a challenge, necessitating careful model selection and validation.  Maintenance relies on a modular model architecture and dynamic model loading to adapt to evolving requirements. The system's air-gapped nature introduces potential challenges in software updates and collaboration.</w:t>
      </w:r>
    </w:p>
    <w:p>
      <w:pPr>
        <w:pStyle w:val="Heading2"/>
      </w:pPr>
      <w:r>
        <w:t>RECOMMENDATIONS</w:t>
      </w:r>
    </w:p>
    <w:p>
      <w:r>
        <w:t>To realize the Sovereign AI Workbench’s potential, Aegis recommends prioritizing robust data security measures, including rigorous audit trails and data validation processes. Further investment should be directed toward optimizing the OCR and vision models to improve document understanding accuracy. Continuous monitoring of GPU utilization and model performance is crucial. The modular architecture supports a staged deployment, beginning with workstation and enterprise-level deployments to gain experience and refine processes before scaling. A detailed understanding of the organization’s knowledge base is essential for effective RAG implementation.</w:t>
      </w:r>
    </w:p>
    <w:p>
      <w:pPr>
        <w:pStyle w:val="Heading2"/>
      </w:pPr>
      <w:r>
        <w:t>AUTHORITATIVE SOURCES &amp; CITATIONS</w:t>
      </w:r>
    </w:p>
    <w:tbl>
      <w:tblPr>
        <w:tblW w:type="auto" w:w="0"/>
        <w:tblLook w:firstColumn="1" w:firstRow="1" w:lastColumn="0" w:lastRow="0" w:noHBand="0" w:noVBand="1" w:val="04A0"/>
      </w:tblPr>
      <w:tblGrid>
        <w:gridCol w:w="2880"/>
        <w:gridCol w:w="2880"/>
        <w:gridCol w:w="2880"/>
      </w:tblGrid>
      <w:tr>
        <w:tc>
          <w:tcPr>
            <w:tcW w:type="dxa" w:w="2880"/>
          </w:tcPr>
          <w:p>
            <w:r>
              <w:t>Document Name</w:t>
            </w:r>
          </w:p>
        </w:tc>
        <w:tc>
          <w:tcPr>
            <w:tcW w:type="dxa" w:w="2880"/>
          </w:tcPr>
          <w:p>
            <w:r>
              <w:t>Referenced Pages</w:t>
            </w:r>
          </w:p>
        </w:tc>
        <w:tc>
          <w:tcPr>
            <w:tcW w:type="dxa" w:w="2880"/>
          </w:tcPr>
          <w:p>
            <w:r>
              <w:t>Relevance Status</w:t>
            </w:r>
          </w:p>
        </w:tc>
      </w:tr>
      <w:tr>
        <w:tc>
          <w:tcPr>
            <w:tcW w:type="dxa" w:w="2880"/>
          </w:tcPr>
          <w:p>
            <w:r>
              <w:t>SIH2026ppt.pdf</w:t>
            </w:r>
          </w:p>
        </w:tc>
        <w:tc>
          <w:tcPr>
            <w:tcW w:type="dxa" w:w="2880"/>
          </w:tcPr>
          <w:p>
            <w:r>
              <w:t>1, 2, 3, 4, 5, 6, 7</w:t>
            </w:r>
          </w:p>
        </w:tc>
        <w:tc>
          <w:tcPr>
            <w:tcW w:type="dxa" w:w="2880"/>
          </w:tcPr>
          <w:p>
            <w:r>
              <w:t>High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