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F172A"/>
          <w:sz w:val="40"/>
        </w:rPr>
        <w:t>SIH 2026 Technical Specification &amp; Implementation Plan</w:t>
      </w:r>
    </w:p>
    <w:p>
      <w:r>
        <w:rPr>
          <w:i/>
          <w:color w:val="64748B"/>
          <w:sz w:val="17"/>
        </w:rPr>
        <w:t>AEGIS Sovereign Intelligence Report | Generated: 2026-09-02 15:21:16 UTC | Classification: CONFIDENTIAL</w:t>
      </w:r>
    </w:p>
    <w:p>
      <w:pPr>
        <w:pStyle w:val="Heading2"/>
      </w:pPr>
      <w:r>
        <w:t>EXECUTIVE SUMMARY</w:t>
      </w:r>
    </w:p>
    <w:p>
      <w:r>
        <w:t>Aegis proposes the ‘Sovereign On-Premise Agentic AI Workbench’ – a multimodal AI solution designed for confidential industrial workflows. It leverages open-weight LLMs, enabling 100% on-premise processing, intelligent routing, agentic task execution, and multimodal understanding of documents (PDFs, images, drawings). The system features a private RAG, sandboxed tool execution, and verified deliverables, all while maintaining data sovereignty and offering a modular, future-ready architecture. The core aim is to automate repetitive work and facilitate faster, evidence-based decision making within a secure, controlled environment.</w:t>
      </w:r>
    </w:p>
    <w:p>
      <w:pPr>
        <w:pStyle w:val="Heading2"/>
      </w:pPr>
      <w:r>
        <w:t>KEY FINDINGS</w:t>
      </w:r>
    </w:p>
    <w:p>
      <w:r>
        <w:t>The Sovereign AI Workbench utilizes an Agentic Plan → Execute → Verify → Re-plan workflow. It employs intelligent model routing based on the task, supports multimodal input (text, PDFs, scans, images, drawings), and includes dynamic model loading for optimized performance. The system’s architecture is entirely on-premise, avoiding cloud AI APIs and ensuring data residency. A key differentiator is the use of quantized 7B/8B Class LLMs for both text and code generation, alongside a vision/OCR model. The Workbench incorporates a Model Registry and Manager for task-aware model selection and dynamic loading. Real-time audit logs, user roles, and a secure web UI contribute to operational control and data security. The primary goal is to deliver verified, actionable outputs, including DOCX, XLSX, PPTX, PDF and generated code, within a secure and controlled environment.</w:t>
      </w:r>
    </w:p>
    <w:p>
      <w:pPr>
        <w:pStyle w:val="Heading2"/>
      </w:pPr>
      <w:r>
        <w:t>DETAILED ANALYSIS</w:t>
      </w:r>
    </w:p>
    <w:p>
      <w:r>
        <w:t>The solution's core functionality revolves around a localized AI agent that understands tasks, plans execution, and verifies results. This is achieved through a combination of RAG (Retrieval-Augmented Generation) over organizational knowledge and the execution of local tools (files, office applications, APIs) within a sandboxed environment. The system dynamically loads and unloads models based on task requirements using a dynamic model loading system, optimizing resource utilization. The multimodal processing capabilities extend to OCR and Vision models for interpreting scanned documents and drawings. Model quantization (7B/8B Class) and the agentic workflow contribute to efficient and secure operation. Data stays entirely within the organization's network, preventing data leakage and ensuring compliance with data sovereignty regulations. The system's architecture is built upon a private network/on-premise infrastructure and incorporates user authentication and robust audit logging. The agent controller handles query understanding and task planning, driving the overall workflow.</w:t>
      </w:r>
    </w:p>
    <w:p>
      <w:pPr>
        <w:pStyle w:val="Heading2"/>
      </w:pPr>
      <w:r>
        <w:t>RISKS AND OPERATIONAL ISSUES</w:t>
      </w:r>
    </w:p>
    <w:p>
      <w:r>
        <w:t>Potential risks include GPU limit contention impacting performance, especially with complex document processing. The OCR + VLM + Document Pipeline introduces potential points of failure and necessitates rigorous validation. Hallucination from the LLMs requires ongoing monitoring and control. Data leakage represents a critical security risk, necessitating robust security measures and regular audits. The RAG approach relies on the quality and accuracy of the organizational knowledge base; poor data quality will negatively impact results.  Operational complexity may arise from managing the dynamic model loading and the agentic workflow, potentially requiring specialized expertise. The reliance on open-weight models introduces dependency on the ecosystem and requires ongoing monitoring of updates and compatibility.</w:t>
      </w:r>
    </w:p>
    <w:p>
      <w:pPr>
        <w:pStyle w:val="Heading2"/>
      </w:pPr>
      <w:r>
        <w:t>RECOMMENDATIONS</w:t>
      </w:r>
    </w:p>
    <w:p>
      <w:r>
        <w:t>To mitigate identified risks, Aegis recommends implementing a robust data governance program focused on knowledge base quality and validation.  A thorough performance testing and optimization strategy should be established to address GPU limit contention and ensure system responsiveness. Continuous monitoring and active hallucination detection mechanisms are crucial.  Layered security measures, including sandboxed execution and comprehensive audit logging, are paramount.  The system should be deployed within a secure, isolated network environment to prevent unauthorized access and potential data breaches. Further research and development are recommended to explore advanced hallucination mitigation techniques and refine the agentic workflow for improved efficiency and reliability.  A phased implementation approach, starting with pilot projects, would facilitate risk assessment and iterative improvements.</w:t>
      </w:r>
    </w:p>
    <w:p>
      <w:pPr>
        <w:pStyle w:val="Heading2"/>
      </w:pPr>
      <w:r>
        <w:t>AUTHORITATIVE SOURCES &amp; CITATIONS</w:t>
      </w:r>
    </w:p>
    <w:tbl>
      <w:tblPr>
        <w:tblW w:type="auto" w:w="0"/>
        <w:tblLook w:firstColumn="1" w:firstRow="1" w:lastColumn="0" w:lastRow="0" w:noHBand="0" w:noVBand="1" w:val="04A0"/>
      </w:tblPr>
      <w:tblGrid>
        <w:gridCol w:w="2880"/>
        <w:gridCol w:w="2880"/>
        <w:gridCol w:w="2880"/>
      </w:tblGrid>
      <w:tr>
        <w:tc>
          <w:tcPr>
            <w:tcW w:type="dxa" w:w="2880"/>
          </w:tcPr>
          <w:p>
            <w:r>
              <w:t>Document Name</w:t>
            </w:r>
          </w:p>
        </w:tc>
        <w:tc>
          <w:tcPr>
            <w:tcW w:type="dxa" w:w="2880"/>
          </w:tcPr>
          <w:p>
            <w:r>
              <w:t>Referenced Pages</w:t>
            </w:r>
          </w:p>
        </w:tc>
        <w:tc>
          <w:tcPr>
            <w:tcW w:type="dxa" w:w="2880"/>
          </w:tcPr>
          <w:p>
            <w:r>
              <w:t>Relevance Status</w:t>
            </w:r>
          </w:p>
        </w:tc>
      </w:tr>
      <w:tr>
        <w:tc>
          <w:tcPr>
            <w:tcW w:type="dxa" w:w="2880"/>
          </w:tcPr>
          <w:p>
            <w:r>
              <w:t>SIH2026ppt.pdf</w:t>
            </w:r>
          </w:p>
        </w:tc>
        <w:tc>
          <w:tcPr>
            <w:tcW w:type="dxa" w:w="2880"/>
          </w:tcPr>
          <w:p>
            <w:r>
              <w:t>1, 2, 3, 4, 5, 6, 7</w:t>
            </w:r>
          </w:p>
        </w:tc>
        <w:tc>
          <w:tcPr>
            <w:tcW w:type="dxa" w:w="2880"/>
          </w:tcPr>
          <w:p>
            <w:r>
              <w:t>High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