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PRODUCT MANAGEMENT CASE STUDY</w:t>
      </w:r>
    </w:p>
    <w:p>
      <w:pPr>
        <w:spacing w:after="80"/>
      </w:pPr>
      <w:r>
        <w:rPr>
          <w:rFonts w:ascii="Calibri" w:cs="Calibri" w:eastAsia="Calibri" w:hAnsi="Calibri"/>
          <w:b/>
          <w:bCs/>
          <w:color w:val="1F2A44"/>
          <w:sz w:val="60"/>
          <w:szCs w:val="60"/>
        </w:rPr>
        <w:t xml:space="preserve">Publisher Monetization</w:t>
      </w:r>
    </w:p>
    <w:p>
      <w:pPr>
        <w:spacing w:after="160" w:line="300"/>
      </w:pPr>
      <w:r>
        <w:rPr>
          <w:rFonts w:ascii="Calibri" w:cs="Calibri" w:eastAsia="Calibri" w:hAnsi="Calibri"/>
          <w:color w:val="5B6475"/>
          <w:sz w:val="26"/>
          <w:szCs w:val="26"/>
        </w:rPr>
        <w:t xml:space="preserve">Understanding Media.net’s publishers: where they get stuck, and what could help</w:t>
      </w:r>
    </w:p>
    <w:p>
      <w:pPr>
        <w:pBdr>
          <w:bottom w:val="single" w:color="0F766E" w:sz="8" w:space="8"/>
        </w:pBdr>
        <w:spacing w:after="200"/>
      </w:pPr>
      <w:r>
        <w:rPr>
          <w:rFonts w:ascii="Calibri" w:cs="Calibri" w:eastAsia="Calibri" w:hAnsi="Calibri"/>
          <w:color w:val="5B6475"/>
          <w:sz w:val="19"/>
          <w:szCs w:val="19"/>
        </w:rPr>
        <w:t xml:space="preserve">Platform studied: Media.net</w:t>
      </w:r>
      <w:r>
        <w:rPr>
          <w:rFonts w:ascii="Calibri" w:cs="Calibri" w:eastAsia="Calibri" w:hAnsi="Calibri"/>
          <w:color w:val="D5DBE3"/>
          <w:sz w:val="19"/>
          <w:szCs w:val="19"/>
        </w:rPr>
        <w:t xml:space="preserve">   |   </w:t>
      </w:r>
      <w:r>
        <w:rPr>
          <w:rFonts w:ascii="Calibri" w:cs="Calibri" w:eastAsia="Calibri" w:hAnsi="Calibri"/>
          <w:color w:val="5B6475"/>
          <w:sz w:val="19"/>
          <w:szCs w:val="19"/>
        </w:rPr>
        <w:t xml:space="preserve">Compared with: Google AdSense</w:t>
      </w:r>
      <w:r>
        <w:rPr>
          <w:rFonts w:ascii="Calibri" w:cs="Calibri" w:eastAsia="Calibri" w:hAnsi="Calibri"/>
          <w:color w:val="D5DBE3"/>
          <w:sz w:val="19"/>
          <w:szCs w:val="19"/>
        </w:rPr>
        <w:t xml:space="preserve">   |   </w:t>
      </w:r>
      <w:r>
        <w:rPr>
          <w:rFonts w:ascii="Calibri" w:cs="Calibri" w:eastAsia="Calibri" w:hAnsi="Calibri"/>
          <w:color w:val="5B6475"/>
          <w:sz w:val="19"/>
          <w:szCs w:val="19"/>
        </w:rPr>
        <w:t xml:space="preserve">Status: hypothesis stage</w:t>
      </w:r>
    </w:p>
    <w:p>
      <w:pPr>
        <w:spacing w:after="200" w:before="0" w:line="288"/>
      </w:pPr>
      <w:r>
        <w:rPr>
          <w:rFonts w:ascii="Calibri" w:cs="Calibri" w:eastAsia="Calibri" w:hAnsi="Calibri"/>
          <w:b/>
          <w:bCs/>
          <w:color w:val="5B6475"/>
          <w:sz w:val="19"/>
          <w:szCs w:val="19"/>
        </w:rPr>
        <w:t xml:space="preserve">Independent student project. </w:t>
      </w:r>
      <w:r>
        <w:rPr>
          <w:rFonts w:ascii="Calibri" w:cs="Calibri" w:eastAsia="Calibri" w:hAnsi="Calibri"/>
          <w:color w:val="5B6475"/>
          <w:sz w:val="19"/>
          <w:szCs w:val="19"/>
        </w:rPr>
        <w:t xml:space="preserve">Built from public sources only. No Media.net internal data, no invented interviews or statistics, and no claim that any problem is proven.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0F766E"/>
                <w:sz w:val="19"/>
                <w:szCs w:val="19"/>
              </w:rPr>
              <w:t xml:space="preserve">Question</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color w:val="222B3A"/>
                <w:sz w:val="19"/>
                <w:szCs w:val="19"/>
              </w:rPr>
              <w:t xml:space="preserve">What friction do small publishers face when managing ad monetization, and what product opportunity could reduce it?</w:t>
            </w:r>
          </w:p>
        </w:tc>
      </w:tr>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0F766E"/>
                <w:sz w:val="19"/>
                <w:szCs w:val="19"/>
              </w:rPr>
              <w:t xml:space="preserve">What I did</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color w:val="222B3A"/>
                <w:sz w:val="19"/>
                <w:szCs w:val="19"/>
              </w:rPr>
              <w:t xml:space="preserve">Mapped the Media.net publisher journey, collected 12 verified public publisher reports, and compared the findings with AdSense documentation.</w:t>
            </w:r>
          </w:p>
        </w:tc>
      </w:tr>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0F766E"/>
                <w:sz w:val="19"/>
                <w:szCs w:val="19"/>
              </w:rPr>
              <w:t xml:space="preserve">What I found</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color w:val="222B3A"/>
                <w:sz w:val="19"/>
                <w:szCs w:val="19"/>
              </w:rPr>
              <w:t xml:space="preserve">Mixed experiences across support, reporting, approval, payments and revenue. The clearest severe cases were payment or account problems where the publisher also struggled to get a satisfactory response.</w:t>
            </w:r>
          </w:p>
        </w:tc>
      </w:tr>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0F766E"/>
                <w:sz w:val="19"/>
                <w:szCs w:val="19"/>
              </w:rPr>
              <w:t xml:space="preserve">Opportunity</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spacing w:after="0" w:line="264"/>
            </w:pPr>
            <w:r>
              <w:rPr>
                <w:rFonts w:ascii="Calibri" w:cs="Calibri" w:eastAsia="Calibri" w:hAnsi="Calibri"/>
                <w:color w:val="222B3A"/>
                <w:sz w:val="19"/>
                <w:szCs w:val="19"/>
              </w:rPr>
              <w:t xml:space="preserve">A clearer view of what is happening with a problem, who owns the next step, and where to get help. This is a hypothesis, not a proven problem.</w:t>
            </w:r>
          </w:p>
        </w:tc>
      </w:tr>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0F766E"/>
                <w:sz w:val="19"/>
                <w:szCs w:val="19"/>
              </w:rPr>
              <w:t xml:space="preserve">Next step</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color w:val="222B3A"/>
                <w:sz w:val="19"/>
                <w:szCs w:val="19"/>
              </w:rPr>
              <w:t xml:space="preserve">Test it in 5 publisher conversations, then prototype one scenario.</w:t>
            </w:r>
          </w:p>
        </w:tc>
      </w:tr>
    </w:tbl>
    <w:p>
      <w:pPr>
        <w:pStyle w:val="Heading1"/>
        <w:keepNext/>
        <w:pBdr>
          <w:bottom w:val="single" w:color="D5DBE3" w:sz="6" w:space="4"/>
        </w:pBdr>
        <w:spacing w:after="140" w:before="360"/>
      </w:pPr>
      <w:r>
        <w:rPr>
          <w:rFonts w:ascii="Calibri" w:cs="Calibri" w:eastAsia="Calibri" w:hAnsi="Calibri"/>
          <w:b/>
          <w:bCs/>
          <w:color w:val="1F2A44"/>
          <w:sz w:val="32"/>
          <w:szCs w:val="32"/>
        </w:rPr>
        <w:t xml:space="preserve">1. Understanding Media.net and the publisher journey</w:t>
      </w:r>
    </w:p>
    <w:p>
      <w:pPr>
        <w:spacing w:after="120" w:before="0" w:line="288"/>
      </w:pPr>
      <w:r>
        <w:rPr>
          <w:rFonts w:ascii="Calibri" w:cs="Calibri" w:eastAsia="Calibri" w:hAnsi="Calibri"/>
          <w:color w:val="222B3A"/>
          <w:sz w:val="21"/>
          <w:szCs w:val="21"/>
        </w:rPr>
        <w:t xml:space="preserve">Media.net is an ad-monetization platform for publishers. Its public material documents a publisher dashboard, performance monitoring, reporting (including Media.net Unify), ad-unit management, ads.txt checks, site approval, inventory review, account support and monthly net-30 payments. These show that features exist, not whether publishers find them clear. The table lists questions to investigate, not confirmed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00"/>
        <w:gridCol w:w="2938"/>
      </w:tblGrid>
      <w:tr>
        <w:trPr>
          <w:cantSplit/>
          <w:tblHeader/>
        </w:trPr>
        <w:tc>
          <w:tcPr>
            <w:tcW w:type="dxa" w:w="17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Stage</w:t>
            </w:r>
          </w:p>
        </w:tc>
        <w:tc>
          <w:tcPr>
            <w:tcW w:type="dxa" w:w="22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What the publisher does</w:t>
            </w:r>
          </w:p>
        </w:tc>
        <w:tc>
          <w:tcPr>
            <w:tcW w:type="dxa" w:w="28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What Media.net publicly provides</w:t>
            </w:r>
          </w:p>
        </w:tc>
        <w:tc>
          <w:tcPr>
            <w:tcW w:type="dxa" w:w="29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Question to investigate</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Discover</w:t>
            </w:r>
          </w:p>
        </w:tc>
        <w:tc>
          <w:tcPr>
            <w:tcW w:type="dxa" w:w="2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Learns about the platform</w:t>
            </w:r>
          </w:p>
        </w:tc>
        <w:tc>
          <w:tcPr>
            <w:tcW w:type="dxa" w:w="2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 public publisher program and offering</w:t>
            </w:r>
          </w:p>
        </w:tc>
        <w:tc>
          <w:tcPr>
            <w:tcW w:type="dxa" w:w="29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What makes publishers consider it?</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Apply and get approved</w:t>
            </w:r>
          </w:p>
        </w:tc>
        <w:tc>
          <w:tcPr>
            <w:tcW w:type="dxa" w:w="2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Submits a site and waits</w:t>
            </w:r>
          </w:p>
        </w:tc>
        <w:tc>
          <w:tcPr>
            <w:tcW w:type="dxa" w:w="2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Each site must be approved before ads are placed</w:t>
            </w:r>
          </w:p>
        </w:tc>
        <w:tc>
          <w:tcPr>
            <w:tcW w:type="dxa" w:w="29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How clear are requirements, status and next steps?</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Implement ads</w:t>
            </w:r>
          </w:p>
        </w:tc>
        <w:tc>
          <w:tcPr>
            <w:tcW w:type="dxa" w:w="2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Adds ad code</w:t>
            </w:r>
          </w:p>
        </w:tc>
        <w:tc>
          <w:tcPr>
            <w:tcW w:type="dxa" w:w="2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Ad-unit tools and implementation support</w:t>
            </w:r>
          </w:p>
        </w:tc>
        <w:tc>
          <w:tcPr>
            <w:tcW w:type="dxa" w:w="29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How easy are setup and debugging?</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Generate impressions</w:t>
            </w:r>
          </w:p>
        </w:tc>
        <w:tc>
          <w:tcPr>
            <w:tcW w:type="dxa" w:w="2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Runs website traffic</w:t>
            </w:r>
          </w:p>
        </w:tc>
        <w:tc>
          <w:tcPr>
            <w:tcW w:type="dxa" w:w="2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Ads that generate impressions and revenue</w:t>
            </w:r>
          </w:p>
        </w:tc>
        <w:tc>
          <w:tcPr>
            <w:tcW w:type="dxa" w:w="29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Can publishers connect activity to earnings?</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Monitor revenue</w:t>
            </w:r>
          </w:p>
        </w:tc>
        <w:tc>
          <w:tcPr>
            <w:tcW w:type="dxa" w:w="2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Checks performance</w:t>
            </w:r>
          </w:p>
        </w:tc>
        <w:tc>
          <w:tcPr>
            <w:tcW w:type="dxa" w:w="2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Dashboard for monitoring and changing settings</w:t>
            </w:r>
          </w:p>
        </w:tc>
        <w:tc>
          <w:tcPr>
            <w:tcW w:type="dxa" w:w="29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Can publishers see why revenue changed?</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Optimize</w:t>
            </w:r>
          </w:p>
        </w:tc>
        <w:tc>
          <w:tcPr>
            <w:tcW w:type="dxa" w:w="2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Adjusts monetization</w:t>
            </w:r>
          </w:p>
        </w:tc>
        <w:tc>
          <w:tcPr>
            <w:tcW w:type="dxa" w:w="2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Optimization, account support and reporting</w:t>
            </w:r>
          </w:p>
        </w:tc>
        <w:tc>
          <w:tcPr>
            <w:tcW w:type="dxa" w:w="29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Can publishers tell what action to take?</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Get paid</w:t>
            </w:r>
          </w:p>
        </w:tc>
        <w:tc>
          <w:tcPr>
            <w:tcW w:type="dxa" w:w="2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Receives earnings</w:t>
            </w:r>
          </w:p>
        </w:tc>
        <w:tc>
          <w:tcPr>
            <w:tcW w:type="dxa" w:w="2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Monthly net-30 payments, subject to the agreement</w:t>
            </w:r>
          </w:p>
        </w:tc>
        <w:tc>
          <w:tcPr>
            <w:tcW w:type="dxa" w:w="29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Can publishers see where a payment stands?</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Get support</w:t>
            </w:r>
          </w:p>
        </w:tc>
        <w:tc>
          <w:tcPr>
            <w:tcW w:type="dxa" w:w="2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Seeks help when something goes wrong</w:t>
            </w:r>
          </w:p>
        </w:tc>
        <w:tc>
          <w:tcPr>
            <w:tcW w:type="dxa" w:w="2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Support channels and account support</w:t>
            </w:r>
          </w:p>
        </w:tc>
        <w:tc>
          <w:tcPr>
            <w:tcW w:type="dxa" w:w="29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Can publishers reach the right help and see progress?</w:t>
            </w:r>
          </w:p>
        </w:tc>
      </w:tr>
    </w:tbl>
    <w:p>
      <w:pPr>
        <w:pStyle w:val="Heading1"/>
        <w:keepNext/>
        <w:pBdr>
          <w:bottom w:val="single" w:color="D5DBE3" w:sz="6" w:space="4"/>
        </w:pBdr>
        <w:spacing w:after="140" w:before="360"/>
      </w:pPr>
      <w:r>
        <w:rPr>
          <w:rFonts w:ascii="Calibri" w:cs="Calibri" w:eastAsia="Calibri" w:hAnsi="Calibri"/>
          <w:b/>
          <w:bCs/>
          <w:color w:val="1F2A44"/>
          <w:sz w:val="32"/>
          <w:szCs w:val="32"/>
        </w:rPr>
        <w:t xml:space="preserve">2. How the research was done</w:t>
      </w:r>
    </w:p>
    <w:p>
      <w:pPr>
        <w:spacing w:after="120" w:before="0" w:line="288"/>
      </w:pPr>
      <w:r>
        <w:rPr>
          <w:rFonts w:ascii="Calibri" w:cs="Calibri" w:eastAsia="Calibri" w:hAnsi="Calibri"/>
          <w:color w:val="222B3A"/>
          <w:sz w:val="21"/>
          <w:szCs w:val="21"/>
        </w:rPr>
        <w:t xml:space="preserve">Interviews with publishers were not practical, so the first phase uses public reviews and forum posts (G2, Trustpilot, SwiftSalary, BlackHatWorld). This is directional evidence, not a substitute for interviews. I did not assume why publishers leave or reduce usage. Each observation keeps four things apart: what the source says, how I coded it, what it might mean, and what is still unknown.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single" w:color="FFFFFF" w:sz="12"/>
            </w:tcBorders>
            <w:shd w:fill="EEF4F4" w:color="auto" w:val="clear"/>
            <w:tcMar>
              <w:top w:type="dxa" w:w="80"/>
              <w:left w:type="dxa" w:w="110"/>
              <w:bottom w:type="dxa" w:w="80"/>
              <w:right w:type="dxa" w:w="110"/>
            </w:tcMar>
            <w:vAlign w:val="center"/>
          </w:tcPr>
          <w:p>
            <w:pPr>
              <w:spacing w:after="20"/>
              <w:jc w:val="center"/>
            </w:pPr>
            <w:r>
              <w:rPr>
                <w:rFonts w:ascii="Calibri" w:cs="Calibri" w:eastAsia="Calibri" w:hAnsi="Calibri"/>
                <w:b/>
                <w:bCs/>
                <w:color w:val="0F766E"/>
                <w:sz w:val="52"/>
                <w:szCs w:val="52"/>
              </w:rPr>
              <w:t xml:space="preserve">12</w:t>
            </w:r>
          </w:p>
          <w:p>
            <w:pPr>
              <w:spacing w:after="0"/>
              <w:jc w:val="center"/>
            </w:pPr>
            <w:r>
              <w:rPr>
                <w:rFonts w:ascii="Calibri" w:cs="Calibri" w:eastAsia="Calibri" w:hAnsi="Calibri"/>
                <w:color w:val="5B6475"/>
                <w:sz w:val="18"/>
                <w:szCs w:val="18"/>
              </w:rPr>
              <w:t xml:space="preserve">verified reports</w:t>
            </w:r>
          </w:p>
        </w:tc>
        <w:tc>
          <w:tcPr>
            <w:tcW w:type="dxa" w:w="2409"/>
            <w:tcBorders>
              <w:top w:val="none" w:color="FFFFFF" w:sz="0"/>
              <w:left w:val="single" w:color="FFFFFF" w:sz="12"/>
              <w:bottom w:val="none" w:color="FFFFFF" w:sz="0"/>
              <w:right w:val="single" w:color="FFFFFF" w:sz="12"/>
            </w:tcBorders>
            <w:shd w:fill="EEF4F4" w:color="auto" w:val="clear"/>
            <w:tcMar>
              <w:top w:type="dxa" w:w="80"/>
              <w:left w:type="dxa" w:w="110"/>
              <w:bottom w:type="dxa" w:w="80"/>
              <w:right w:type="dxa" w:w="110"/>
            </w:tcMar>
            <w:vAlign w:val="center"/>
          </w:tcPr>
          <w:p>
            <w:pPr>
              <w:spacing w:after="20"/>
              <w:jc w:val="center"/>
            </w:pPr>
            <w:r>
              <w:rPr>
                <w:rFonts w:ascii="Calibri" w:cs="Calibri" w:eastAsia="Calibri" w:hAnsi="Calibri"/>
                <w:b/>
                <w:bCs/>
                <w:color w:val="0F766E"/>
                <w:sz w:val="52"/>
                <w:szCs w:val="52"/>
              </w:rPr>
              <w:t xml:space="preserve">9</w:t>
            </w:r>
          </w:p>
          <w:p>
            <w:pPr>
              <w:spacing w:after="0"/>
              <w:jc w:val="center"/>
            </w:pPr>
            <w:r>
              <w:rPr>
                <w:rFonts w:ascii="Calibri" w:cs="Calibri" w:eastAsia="Calibri" w:hAnsi="Calibri"/>
                <w:color w:val="5B6475"/>
                <w:sz w:val="18"/>
                <w:szCs w:val="18"/>
              </w:rPr>
              <w:t xml:space="preserve">from 2017 to 2020</w:t>
            </w:r>
          </w:p>
        </w:tc>
        <w:tc>
          <w:tcPr>
            <w:tcW w:type="dxa" w:w="2409"/>
            <w:tcBorders>
              <w:top w:val="none" w:color="FFFFFF" w:sz="0"/>
              <w:left w:val="single" w:color="FFFFFF" w:sz="12"/>
              <w:bottom w:val="none" w:color="FFFFFF" w:sz="0"/>
              <w:right w:val="single" w:color="FFFFFF" w:sz="12"/>
            </w:tcBorders>
            <w:shd w:fill="EEF4F4" w:color="auto" w:val="clear"/>
            <w:tcMar>
              <w:top w:type="dxa" w:w="80"/>
              <w:left w:type="dxa" w:w="110"/>
              <w:bottom w:type="dxa" w:w="80"/>
              <w:right w:type="dxa" w:w="110"/>
            </w:tcMar>
            <w:vAlign w:val="center"/>
          </w:tcPr>
          <w:p>
            <w:pPr>
              <w:spacing w:after="20"/>
              <w:jc w:val="center"/>
            </w:pPr>
            <w:r>
              <w:rPr>
                <w:rFonts w:ascii="Calibri" w:cs="Calibri" w:eastAsia="Calibri" w:hAnsi="Calibri"/>
                <w:b/>
                <w:bCs/>
                <w:color w:val="0F766E"/>
                <w:sz w:val="52"/>
                <w:szCs w:val="52"/>
              </w:rPr>
              <w:t xml:space="preserve">3</w:t>
            </w:r>
          </w:p>
          <w:p>
            <w:pPr>
              <w:spacing w:after="0"/>
              <w:jc w:val="center"/>
            </w:pPr>
            <w:r>
              <w:rPr>
                <w:rFonts w:ascii="Calibri" w:cs="Calibri" w:eastAsia="Calibri" w:hAnsi="Calibri"/>
                <w:color w:val="5B6475"/>
                <w:sz w:val="18"/>
                <w:szCs w:val="18"/>
              </w:rPr>
              <w:t xml:space="preserve">from 2022 to 2023</w:t>
            </w:r>
          </w:p>
        </w:tc>
        <w:tc>
          <w:tcPr>
            <w:tcW w:type="dxa" w:w="2411"/>
            <w:tcBorders>
              <w:top w:val="none" w:color="FFFFFF" w:sz="0"/>
              <w:left w:val="single" w:color="FFFFFF" w:sz="12"/>
              <w:bottom w:val="none" w:color="FFFFFF" w:sz="0"/>
              <w:right w:val="single" w:color="FFFFFF" w:sz="12"/>
            </w:tcBorders>
            <w:shd w:fill="EEF4F4" w:color="auto" w:val="clear"/>
            <w:tcMar>
              <w:top w:type="dxa" w:w="80"/>
              <w:left w:type="dxa" w:w="110"/>
              <w:bottom w:type="dxa" w:w="80"/>
              <w:right w:type="dxa" w:w="110"/>
            </w:tcMar>
            <w:vAlign w:val="center"/>
          </w:tcPr>
          <w:p>
            <w:pPr>
              <w:spacing w:after="20"/>
              <w:jc w:val="center"/>
            </w:pPr>
            <w:r>
              <w:rPr>
                <w:rFonts w:ascii="Calibri" w:cs="Calibri" w:eastAsia="Calibri" w:hAnsi="Calibri"/>
                <w:b/>
                <w:bCs/>
                <w:color w:val="0F766E"/>
                <w:sz w:val="52"/>
                <w:szCs w:val="52"/>
              </w:rPr>
              <w:t xml:space="preserve">0</w:t>
            </w:r>
          </w:p>
          <w:p>
            <w:pPr>
              <w:spacing w:after="0"/>
              <w:jc w:val="center"/>
            </w:pPr>
            <w:r>
              <w:rPr>
                <w:rFonts w:ascii="Calibri" w:cs="Calibri" w:eastAsia="Calibri" w:hAnsi="Calibri"/>
                <w:color w:val="5B6475"/>
                <w:sz w:val="18"/>
                <w:szCs w:val="18"/>
              </w:rPr>
              <w:t xml:space="preserve">from 2024 to 2026</w:t>
            </w:r>
          </w:p>
        </w:tc>
      </w:tr>
    </w:tbl>
    <w:p>
      <w:pPr>
        <w:spacing w:after="100"/>
      </w:pPr>
    </w:p>
    <w:p>
      <w:pPr>
        <w:spacing w:after="120" w:before="0" w:line="288"/>
      </w:pPr>
      <w:r>
        <w:rPr>
          <w:rFonts w:ascii="Calibri" w:cs="Calibri" w:eastAsia="Calibri" w:hAnsi="Calibri"/>
          <w:color w:val="222B3A"/>
          <w:sz w:val="21"/>
          <w:szCs w:val="21"/>
        </w:rPr>
        <w:t xml:space="preserve">Eight more items (Reddit, Digital Point, SitePoint, Warrior Forum and one Trustpilot review) are excluded until they are opened and verified.</w:t>
      </w:r>
    </w:p>
    <w:p>
      <w:pPr>
        <w:pStyle w:val="Heading2"/>
        <w:keepNext/>
        <w:spacing w:after="80" w:before="220"/>
      </w:pPr>
      <w:r>
        <w:rPr>
          <w:rFonts w:ascii="Calibri" w:cs="Calibri" w:eastAsia="Calibri" w:hAnsi="Calibri"/>
          <w:b/>
          <w:bCs/>
          <w:color w:val="0F766E"/>
          <w:sz w:val="24"/>
          <w:szCs w:val="24"/>
        </w:rPr>
        <w:t xml:space="preserve">Limits</w:t>
      </w:r>
    </w:p>
    <w:p>
      <w:pPr>
        <w:pStyle w:val="ListParagraph"/>
        <w:numPr>
          <w:ilvl w:val="0"/>
          <w:numId w:val="2"/>
        </w:numPr>
        <w:spacing w:after="60" w:line="276"/>
      </w:pPr>
      <w:r>
        <w:rPr>
          <w:rFonts w:ascii="Calibri" w:cs="Calibri" w:eastAsia="Calibri" w:hAnsi="Calibri"/>
          <w:color w:val="222B3A"/>
          <w:sz w:val="21"/>
          <w:szCs w:val="21"/>
        </w:rPr>
        <w:t xml:space="preserve">Small and self-selected, so not representative of all publishers. Three reports mean "three reports said this", not "most publishers experience this".</w:t>
      </w:r>
    </w:p>
    <w:p>
      <w:pPr>
        <w:pStyle w:val="ListParagraph"/>
        <w:numPr>
          <w:ilvl w:val="0"/>
          <w:numId w:val="2"/>
        </w:numPr>
        <w:spacing w:after="60" w:line="276"/>
      </w:pPr>
      <w:r>
        <w:rPr>
          <w:rFonts w:ascii="Calibri" w:cs="Calibri" w:eastAsia="Calibri" w:hAnsi="Calibri"/>
          <w:color w:val="222B3A"/>
          <w:sz w:val="21"/>
          <w:szCs w:val="21"/>
        </w:rPr>
        <w:t xml:space="preserve">Nine of the 12 reports are from 2020 or earlier and may not describe the current product.</w:t>
      </w:r>
    </w:p>
    <w:p>
      <w:pPr>
        <w:pStyle w:val="ListParagraph"/>
        <w:numPr>
          <w:ilvl w:val="0"/>
          <w:numId w:val="2"/>
        </w:numPr>
        <w:spacing w:after="60" w:line="276"/>
      </w:pPr>
      <w:r>
        <w:rPr>
          <w:rFonts w:ascii="Calibri" w:cs="Calibri" w:eastAsia="Calibri" w:hAnsi="Calibri"/>
          <w:color w:val="222B3A"/>
          <w:sz w:val="21"/>
          <w:szCs w:val="21"/>
        </w:rPr>
        <w:t xml:space="preserve">Many G2 reviews were invited with an incentive, and publishers differ in traffic, country and niche.</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3. Publisher pain points</w:t>
      </w:r>
    </w:p>
    <w:p>
      <w:pPr>
        <w:keepNext/>
        <w:spacing w:after="120" w:before="0" w:line="288"/>
      </w:pPr>
      <w:r>
        <w:rPr>
          <w:rFonts w:ascii="Calibri" w:cs="Calibri" w:eastAsia="Calibri" w:hAnsi="Calibri"/>
          <w:color w:val="222B3A"/>
          <w:sz w:val="21"/>
          <w:szCs w:val="21"/>
        </w:rPr>
        <w:t xml:space="preserve">Each report was coded by theme. One report can count under several themes. Evidence strength reflects how many reports, how recent, and how specific, not how many publishers are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4600"/>
        <w:gridCol w:w="1838"/>
      </w:tblGrid>
      <w:tr>
        <w:trPr>
          <w:cantSplit/>
          <w:tblHeader/>
        </w:trPr>
        <w:tc>
          <w:tcPr>
            <w:tcW w:type="dxa" w:w="23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Theme</w:t>
            </w:r>
          </w:p>
        </w:tc>
        <w:tc>
          <w:tcPr>
            <w:tcW w:type="dxa" w:w="9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Reports</w:t>
            </w:r>
          </w:p>
        </w:tc>
        <w:tc>
          <w:tcPr>
            <w:tcW w:type="dxa" w:w="46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Mix of experiences</w:t>
            </w:r>
          </w:p>
        </w:tc>
        <w:tc>
          <w:tcPr>
            <w:tcW w:type="dxa" w:w="18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Evidence strength</w:t>
            </w:r>
          </w:p>
        </w:tc>
      </w:tr>
      <w:tr>
        <w:trPr>
          <w:cantSplit/>
        </w:trPr>
        <w:tc>
          <w:tcPr>
            <w:tcW w:type="dxa" w:w="23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Support and communication</w:t>
            </w:r>
          </w:p>
        </w:tc>
        <w:tc>
          <w:tcPr>
            <w:tcW w:type="dxa" w:w="9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7</w:t>
            </w:r>
          </w:p>
        </w:tc>
        <w:tc>
          <w:tcPr>
            <w:tcW w:type="dxa" w:w="4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3 positive, 1 mixed, 3 negative. Helpful managers, but also an unanswered appeal and confusing handoffs.</w:t>
            </w:r>
          </w:p>
        </w:tc>
        <w:tc>
          <w:tcPr>
            <w:tcW w:type="dxa" w:w="18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Moderate</w:t>
            </w:r>
          </w:p>
        </w:tc>
      </w:tr>
      <w:tr>
        <w:trPr>
          <w:cantSplit/>
        </w:trPr>
        <w:tc>
          <w:tcPr>
            <w:tcW w:type="dxa" w:w="23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Reporting and dashboard</w:t>
            </w:r>
          </w:p>
        </w:tc>
        <w:tc>
          <w:tcPr>
            <w:tcW w:type="dxa" w:w="9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6</w:t>
            </w:r>
          </w:p>
        </w:tc>
        <w:tc>
          <w:tcPr>
            <w:tcW w:type="dxa" w:w="4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 positive, 4 negative. Easy for some; basic, limited or outdated for others (mostly 2017 to 2018).</w:t>
            </w:r>
          </w:p>
        </w:tc>
        <w:tc>
          <w:tcPr>
            <w:tcW w:type="dxa" w:w="18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Moderate, mostly old</w:t>
            </w:r>
          </w:p>
        </w:tc>
      </w:tr>
      <w:tr>
        <w:trPr>
          <w:cantSplit/>
        </w:trPr>
        <w:tc>
          <w:tcPr>
            <w:tcW w:type="dxa" w:w="23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Payments</w:t>
            </w:r>
          </w:p>
        </w:tc>
        <w:tc>
          <w:tcPr>
            <w:tcW w:type="dxa" w:w="9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3</w:t>
            </w:r>
          </w:p>
        </w:tc>
        <w:tc>
          <w:tcPr>
            <w:tcW w:type="dxa" w:w="4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 positive, 2 negative. On-time payment for one; alleged non-payment for two (2020, 2022).</w:t>
            </w:r>
          </w:p>
        </w:tc>
        <w:tc>
          <w:tcPr>
            <w:tcW w:type="dxa" w:w="18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 to moderate</w:t>
            </w:r>
          </w:p>
        </w:tc>
      </w:tr>
      <w:tr>
        <w:trPr>
          <w:cantSplit/>
        </w:trPr>
        <w:tc>
          <w:tcPr>
            <w:tcW w:type="dxa" w:w="23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Revenue level</w:t>
            </w:r>
          </w:p>
        </w:tc>
        <w:tc>
          <w:tcPr>
            <w:tcW w:type="dxa" w:w="9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3</w:t>
            </w:r>
          </w:p>
        </w:tc>
        <w:tc>
          <w:tcPr>
            <w:tcW w:type="dxa" w:w="4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All low. Lower CPC than AdSense; low RPM (2022 to 2023).</w:t>
            </w:r>
          </w:p>
        </w:tc>
        <w:tc>
          <w:tcPr>
            <w:tcW w:type="dxa" w:w="18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w:t>
            </w:r>
          </w:p>
        </w:tc>
      </w:tr>
      <w:tr>
        <w:trPr>
          <w:cantSplit/>
        </w:trPr>
        <w:tc>
          <w:tcPr>
            <w:tcW w:type="dxa" w:w="23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Optimization and ad controls</w:t>
            </w:r>
          </w:p>
        </w:tc>
        <w:tc>
          <w:tcPr>
            <w:tcW w:type="dxa" w:w="9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3</w:t>
            </w:r>
          </w:p>
        </w:tc>
        <w:tc>
          <w:tcPr>
            <w:tcW w:type="dxa" w:w="4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 positive, 1 mixed, 1 negative. Customizable ads, but slow optimization.</w:t>
            </w:r>
          </w:p>
        </w:tc>
        <w:tc>
          <w:tcPr>
            <w:tcW w:type="dxa" w:w="18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w:t>
            </w:r>
          </w:p>
        </w:tc>
      </w:tr>
      <w:tr>
        <w:trPr>
          <w:cantSplit/>
        </w:trPr>
        <w:tc>
          <w:tcPr>
            <w:tcW w:type="dxa" w:w="23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Approval and multi-site</w:t>
            </w:r>
          </w:p>
        </w:tc>
        <w:tc>
          <w:tcPr>
            <w:tcW w:type="dxa" w:w="9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w:t>
            </w:r>
          </w:p>
        </w:tc>
        <w:tc>
          <w:tcPr>
            <w:tcW w:type="dxa" w:w="4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Easy approval for one; a separate approval for each extra website.</w:t>
            </w:r>
          </w:p>
        </w:tc>
        <w:tc>
          <w:tcPr>
            <w:tcW w:type="dxa" w:w="18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w:t>
            </w:r>
          </w:p>
        </w:tc>
      </w:tr>
      <w:tr>
        <w:trPr>
          <w:cantSplit/>
        </w:trPr>
        <w:tc>
          <w:tcPr>
            <w:tcW w:type="dxa" w:w="23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Account status</w:t>
            </w:r>
          </w:p>
        </w:tc>
        <w:tc>
          <w:tcPr>
            <w:tcW w:type="dxa" w:w="9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w:t>
            </w:r>
          </w:p>
        </w:tc>
        <w:tc>
          <w:tcPr>
            <w:tcW w:type="dxa" w:w="4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Suspension with no specific reason given and an unanswered appeal.</w:t>
            </w:r>
          </w:p>
        </w:tc>
        <w:tc>
          <w:tcPr>
            <w:tcW w:type="dxa" w:w="18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 but severe</w:t>
            </w:r>
          </w:p>
        </w:tc>
      </w:tr>
      <w:tr>
        <w:trPr>
          <w:cantSplit/>
        </w:trPr>
        <w:tc>
          <w:tcPr>
            <w:tcW w:type="dxa" w:w="23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Technical</w:t>
            </w:r>
          </w:p>
        </w:tc>
        <w:tc>
          <w:tcPr>
            <w:tcW w:type="dxa" w:w="9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1</w:t>
            </w:r>
          </w:p>
        </w:tc>
        <w:tc>
          <w:tcPr>
            <w:tcW w:type="dxa" w:w="4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Ad script sometimes caused problems.</w:t>
            </w:r>
          </w:p>
        </w:tc>
        <w:tc>
          <w:tcPr>
            <w:tcW w:type="dxa" w:w="18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Weak</w:t>
            </w:r>
          </w:p>
        </w:tc>
      </w:tr>
    </w:tbl>
    <w:p>
      <w:pPr>
        <w:spacing w:after="100"/>
      </w:pPr>
    </w:p>
    <w:p>
      <w:pPr>
        <w:pStyle w:val="Heading2"/>
        <w:keepNext/>
        <w:spacing w:after="80" w:before="220"/>
      </w:pPr>
      <w:r>
        <w:rPr>
          <w:rFonts w:ascii="Calibri" w:cs="Calibri" w:eastAsia="Calibri" w:hAnsi="Calibri"/>
          <w:b/>
          <w:bCs/>
          <w:color w:val="0F766E"/>
          <w:sz w:val="24"/>
          <w:szCs w:val="24"/>
        </w:rPr>
        <w:t xml:space="preserve">The clearest severe cases</w:t>
      </w:r>
    </w:p>
    <w:p>
      <w:pPr>
        <w:keepNext/>
        <w:spacing w:after="120" w:before="0" w:line="288"/>
      </w:pPr>
      <w:r>
        <w:rPr>
          <w:rFonts w:ascii="Calibri" w:cs="Calibri" w:eastAsia="Calibri" w:hAnsi="Calibri"/>
          <w:color w:val="222B3A"/>
          <w:sz w:val="21"/>
          <w:szCs w:val="21"/>
        </w:rPr>
        <w:t xml:space="preserve">Here "severe" means loss of account access, reported financial loss, or reported non-payment. Three reports qualify, and in each the publisher also described difficulty getting a satisfactory response:</w:t>
      </w:r>
    </w:p>
    <w:p>
      <w:pPr>
        <w:pStyle w:val="ListParagraph"/>
        <w:numPr>
          <w:ilvl w:val="0"/>
          <w:numId w:val="2"/>
        </w:numPr>
        <w:spacing w:after="60" w:line="276"/>
      </w:pPr>
      <w:r>
        <w:rPr>
          <w:rFonts w:ascii="Calibri" w:cs="Calibri" w:eastAsia="Calibri" w:hAnsi="Calibri"/>
          <w:b/>
          <w:bCs/>
          <w:color w:val="222B3A"/>
          <w:sz w:val="21"/>
          <w:szCs w:val="21"/>
        </w:rPr>
        <w:t xml:space="preserve">G2, 2020: </w:t>
      </w:r>
      <w:r>
        <w:rPr>
          <w:rFonts w:ascii="Calibri" w:cs="Calibri" w:eastAsia="Calibri" w:hAnsi="Calibri"/>
          <w:color w:val="222B3A"/>
          <w:sz w:val="21"/>
          <w:szCs w:val="21"/>
        </w:rPr>
        <w:t xml:space="preserve">suspension with no specific reason, an unanswered appeal and a reported financial loss.</w:t>
      </w:r>
    </w:p>
    <w:p>
      <w:pPr>
        <w:pStyle w:val="ListParagraph"/>
        <w:numPr>
          <w:ilvl w:val="0"/>
          <w:numId w:val="2"/>
        </w:numPr>
        <w:spacing w:after="60" w:line="276"/>
      </w:pPr>
      <w:r>
        <w:rPr>
          <w:rFonts w:ascii="Calibri" w:cs="Calibri" w:eastAsia="Calibri" w:hAnsi="Calibri"/>
          <w:b/>
          <w:bCs/>
          <w:color w:val="222B3A"/>
          <w:sz w:val="21"/>
          <w:szCs w:val="21"/>
        </w:rPr>
        <w:t xml:space="preserve">BlackHatWorld, 2020: </w:t>
      </w:r>
      <w:r>
        <w:rPr>
          <w:rFonts w:ascii="Calibri" w:cs="Calibri" w:eastAsia="Calibri" w:hAnsi="Calibri"/>
          <w:color w:val="222B3A"/>
          <w:sz w:val="21"/>
          <w:szCs w:val="21"/>
        </w:rPr>
        <w:t xml:space="preserve">reported non-payment and no further response (one forum thread).</w:t>
      </w:r>
    </w:p>
    <w:p>
      <w:pPr>
        <w:pStyle w:val="ListParagraph"/>
        <w:numPr>
          <w:ilvl w:val="0"/>
          <w:numId w:val="2"/>
        </w:numPr>
        <w:spacing w:after="60" w:line="276"/>
      </w:pPr>
      <w:r>
        <w:rPr>
          <w:rFonts w:ascii="Calibri" w:cs="Calibri" w:eastAsia="Calibri" w:hAnsi="Calibri"/>
          <w:b/>
          <w:bCs/>
          <w:color w:val="222B3A"/>
          <w:sz w:val="21"/>
          <w:szCs w:val="21"/>
        </w:rPr>
        <w:t xml:space="preserve">Trustpilot, 2022: </w:t>
      </w:r>
      <w:r>
        <w:rPr>
          <w:rFonts w:ascii="Calibri" w:cs="Calibri" w:eastAsia="Calibri" w:hAnsi="Calibri"/>
          <w:color w:val="222B3A"/>
          <w:sz w:val="21"/>
          <w:szCs w:val="21"/>
        </w:rPr>
        <w:t xml:space="preserve">alleged unpaid remaining earnings and poor support (less directly comparable).</w:t>
      </w:r>
    </w:p>
    <w:p>
      <w:pPr>
        <w:spacing w:after="60"/>
      </w:pPr>
    </w:p>
    <w:p>
      <w:pPr>
        <w:spacing w:after="120" w:before="0" w:line="288"/>
      </w:pPr>
      <w:r>
        <w:rPr>
          <w:rFonts w:ascii="Calibri" w:cs="Calibri" w:eastAsia="Calibri" w:hAnsi="Calibri"/>
          <w:color w:val="222B3A"/>
          <w:sz w:val="21"/>
          <w:szCs w:val="21"/>
        </w:rPr>
        <w:t xml:space="preserve">Overall the evidence is heterogeneous. It does not show that one issue is universal, current, or specific to Media.net.</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4. Competitive context: Google AdSense</w:t>
      </w:r>
    </w:p>
    <w:p>
      <w:pPr>
        <w:keepNext/>
        <w:spacing w:after="120" w:before="0" w:line="288"/>
      </w:pPr>
      <w:r>
        <w:rPr>
          <w:rFonts w:ascii="Calibri" w:cs="Calibri" w:eastAsia="Calibri" w:hAnsi="Calibri"/>
          <w:color w:val="222B3A"/>
          <w:sz w:val="21"/>
          <w:szCs w:val="21"/>
        </w:rPr>
        <w:t xml:space="preserve">A descriptive comparison from Google’s public help pages. It shows what is documented, not how publishers experience it. AdSense and Google Ad Manager experiences are still to be researched the same way (up to 10 reports each, by 7 October).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538"/>
      </w:tblGrid>
      <w:tr>
        <w:trPr>
          <w:cantSplit/>
          <w:tblHeader/>
        </w:trPr>
        <w:tc>
          <w:tcPr>
            <w:tcW w:type="dxa" w:w="17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Moment</w:t>
            </w:r>
          </w:p>
        </w:tc>
        <w:tc>
          <w:tcPr>
            <w:tcW w:type="dxa" w:w="44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AdSense documentation</w:t>
            </w:r>
          </w:p>
        </w:tc>
        <w:tc>
          <w:tcPr>
            <w:tcW w:type="dxa" w:w="35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Media.net public material (reviewed so far)</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Payment on hold</w:t>
            </w:r>
          </w:p>
        </w:tc>
        <w:tc>
          <w:tcPr>
            <w:tcW w:type="dxa" w:w="44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An alert on the Payments page, with a help page listing common causes (tax information, identity or compliance checks, a self-hold) and the steps to remove the hold.</w:t>
            </w:r>
          </w:p>
        </w:tc>
        <w:tc>
          <w:tcPr>
            <w:tcW w:type="dxa" w:w="3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No equivalent publisher-facing payment status view found so far. To be confirmed.</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Policy issue</w:t>
            </w:r>
          </w:p>
        </w:tc>
        <w:tc>
          <w:tcPr>
            <w:tcW w:type="dxa" w:w="44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 Policy center with a status column (for example "Under review"), a Fix action and a request-review flow.</w:t>
            </w:r>
          </w:p>
        </w:tc>
        <w:tc>
          <w:tcPr>
            <w:tcW w:type="dxa" w:w="3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No equivalent found so far. To be confirmed.</w:t>
            </w:r>
          </w:p>
        </w:tc>
      </w:tr>
      <w:tr>
        <w:trPr>
          <w:cantSplit/>
        </w:trPr>
        <w:tc>
          <w:tcPr>
            <w:tcW w:type="dxa" w:w="17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Contacting support</w:t>
            </w:r>
          </w:p>
        </w:tc>
        <w:tc>
          <w:tcPr>
            <w:tcW w:type="dxa" w:w="44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 guided contact flow by issue category. Google states email replies come within 2 business days.</w:t>
            </w:r>
          </w:p>
        </w:tc>
        <w:tc>
          <w:tcPr>
            <w:tcW w:type="dxa" w:w="3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Account support is described publicly. Response times are not documented in the sources reviewed.</w:t>
            </w:r>
          </w:p>
        </w:tc>
      </w:tr>
      <w:tr>
        <w:trPr>
          <w:cantSplit/>
        </w:trPr>
        <w:tc>
          <w:tcPr>
            <w:tcW w:type="dxa" w:w="17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Multi-site approval</w:t>
            </w:r>
          </w:p>
        </w:tc>
        <w:tc>
          <w:tcPr>
            <w:tcW w:type="dxa" w:w="44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Not researched yet. One G2 reviewer said AdSense approves at account level.</w:t>
            </w:r>
          </w:p>
        </w:tc>
        <w:tc>
          <w:tcPr>
            <w:tcW w:type="dxa" w:w="3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Two G2 reviewers said each site needs separate approval.</w:t>
            </w:r>
          </w:p>
        </w:tc>
      </w:tr>
    </w:tbl>
    <w:p>
      <w:pPr>
        <w:spacing w:after="80"/>
      </w:pPr>
    </w:p>
    <w:p>
      <w:pPr>
        <w:spacing w:after="120" w:before="0" w:line="288"/>
      </w:pPr>
      <w:r>
        <w:rPr>
          <w:rFonts w:ascii="Calibri" w:cs="Calibri" w:eastAsia="Calibri" w:hAnsi="Calibri"/>
          <w:b/>
          <w:bCs/>
          <w:color w:val="222B3A"/>
          <w:sz w:val="21"/>
          <w:szCs w:val="21"/>
        </w:rPr>
        <w:t xml:space="preserve">Takeaway. </w:t>
      </w:r>
      <w:r>
        <w:rPr>
          <w:rFonts w:ascii="Calibri" w:cs="Calibri" w:eastAsia="Calibri" w:hAnsi="Calibri"/>
          <w:color w:val="222B3A"/>
          <w:sz w:val="21"/>
          <w:szCs w:val="21"/>
        </w:rPr>
        <w:t xml:space="preserve">AdSense shows that status and resolution tools are feasible, so this is a reasonable pattern to study. It does not show that Media.net publishers lack them or struggle more. That needs a comparison of publisher experiences.</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5. The opportunity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0F766E"/>
                <w:sz w:val="19"/>
                <w:szCs w:val="19"/>
              </w:rPr>
              <w:t xml:space="preserve">Working problem</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color w:val="222B3A"/>
                <w:sz w:val="19"/>
                <w:szCs w:val="19"/>
              </w:rPr>
              <w:t xml:space="preserve">When small publishers meet a monetization-related problem, they may lack a clear path to understand the situation, get appropriate help, track resolution and know what happens next.</w:t>
            </w:r>
          </w:p>
        </w:tc>
      </w:tr>
    </w:tbl>
    <w:p>
      <w:pPr>
        <w:spacing w:after="100"/>
      </w:pPr>
    </w:p>
    <w:p>
      <w:pPr>
        <w:keepNext/>
        <w:spacing w:after="120" w:before="0" w:line="288"/>
      </w:pPr>
      <w:r>
        <w:rPr>
          <w:rFonts w:ascii="Calibri" w:cs="Calibri" w:eastAsia="Calibri" w:hAnsi="Calibri"/>
          <w:color w:val="222B3A"/>
          <w:sz w:val="21"/>
          <w:szCs w:val="21"/>
        </w:rPr>
        <w:t xml:space="preserve">This is a cross-cutting problem. Payment, account, revenue, reporting and technical issues are treated as types of it, not separate problems. It leads the list because it fits several kinds of evidence, including the three severe cases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438"/>
      </w:tblGrid>
      <w:tr>
        <w:trPr>
          <w:cantSplit/>
          <w:tblHeader/>
        </w:trPr>
        <w:tc>
          <w:tcPr>
            <w:tcW w:type="dxa" w:w="52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Opportunity considered</w:t>
            </w:r>
          </w:p>
        </w:tc>
        <w:tc>
          <w:tcPr>
            <w:tcW w:type="dxa" w:w="20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Evidence</w:t>
            </w:r>
          </w:p>
        </w:tc>
        <w:tc>
          <w:tcPr>
            <w:tcW w:type="dxa" w:w="24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Status</w:t>
            </w:r>
          </w:p>
        </w:tc>
      </w:tr>
      <w:tr>
        <w:trPr>
          <w:cantSplit/>
        </w:trPr>
        <w:tc>
          <w:tcPr>
            <w:tcW w:type="dxa" w:w="5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Status and resolution visibility when a problem occurs</w:t>
            </w:r>
          </w:p>
        </w:tc>
        <w:tc>
          <w:tcPr>
            <w:tcW w:type="dxa" w:w="20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Moderate</w:t>
            </w:r>
          </w:p>
        </w:tc>
        <w:tc>
          <w:tcPr>
            <w:tcW w:type="dxa" w:w="24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Leading hypothesis</w:t>
            </w:r>
          </w:p>
        </w:tc>
      </w:tr>
      <w:tr>
        <w:trPr>
          <w:cantSplit/>
        </w:trPr>
        <w:tc>
          <w:tcPr>
            <w:tcW w:type="dxa" w:w="5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Understanding why performance or revenue changed</w:t>
            </w:r>
          </w:p>
        </w:tc>
        <w:tc>
          <w:tcPr>
            <w:tcW w:type="dxa" w:w="20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 to moderate</w:t>
            </w:r>
          </w:p>
        </w:tc>
        <w:tc>
          <w:tcPr>
            <w:tcW w:type="dxa" w:w="24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Alternative</w:t>
            </w:r>
          </w:p>
        </w:tc>
      </w:tr>
      <w:tr>
        <w:trPr>
          <w:cantSplit/>
        </w:trPr>
        <w:tc>
          <w:tcPr>
            <w:tcW w:type="dxa" w:w="5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Deciding which optimization action to take</w:t>
            </w:r>
          </w:p>
        </w:tc>
        <w:tc>
          <w:tcPr>
            <w:tcW w:type="dxa" w:w="20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Weak</w:t>
            </w:r>
          </w:p>
        </w:tc>
        <w:tc>
          <w:tcPr>
            <w:tcW w:type="dxa" w:w="24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Alternative</w:t>
            </w:r>
          </w:p>
        </w:tc>
      </w:tr>
      <w:tr>
        <w:trPr>
          <w:cantSplit/>
        </w:trPr>
        <w:tc>
          <w:tcPr>
            <w:tcW w:type="dxa" w:w="5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Approval and multi-site friction</w:t>
            </w:r>
          </w:p>
        </w:tc>
        <w:tc>
          <w:tcPr>
            <w:tcW w:type="dxa" w:w="20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Weak</w:t>
            </w:r>
          </w:p>
        </w:tc>
        <w:tc>
          <w:tcPr>
            <w:tcW w:type="dxa" w:w="24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Alternative</w:t>
            </w:r>
          </w:p>
        </w:tc>
      </w:tr>
    </w:tbl>
    <w:p>
      <w:pPr>
        <w:spacing w:after="80"/>
      </w:pPr>
    </w:p>
    <w:p>
      <w:pPr>
        <w:spacing w:after="120" w:before="0" w:line="288"/>
      </w:pPr>
      <w:r>
        <w:rPr>
          <w:rFonts w:ascii="Calibri" w:cs="Calibri" w:eastAsia="Calibri" w:hAnsi="Calibri"/>
          <w:b/>
          <w:bCs/>
          <w:color w:val="222B3A"/>
          <w:sz w:val="21"/>
          <w:szCs w:val="21"/>
        </w:rPr>
        <w:t xml:space="preserve">The opposite test. </w:t>
      </w:r>
      <w:r>
        <w:rPr>
          <w:rFonts w:ascii="Calibri" w:cs="Calibri" w:eastAsia="Calibri" w:hAnsi="Calibri"/>
          <w:color w:val="222B3A"/>
          <w:sz w:val="21"/>
          <w:szCs w:val="21"/>
        </w:rPr>
        <w:t xml:space="preserve">Perhaps the problem itself (a lost payment, a suspension) matters far more than how it was communicated, and clear communication cannot remove a financial loss. The research will ask whether the same problem, explained clearly and resolved quickly, would have felt different.</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6. Product proposal</w:t>
      </w:r>
    </w:p>
    <w:p>
      <w:pPr>
        <w:keepNext/>
        <w:spacing w:after="120" w:before="0" w:line="288"/>
      </w:pPr>
      <w:r>
        <w:rPr>
          <w:rFonts w:ascii="Calibri" w:cs="Calibri" w:eastAsia="Calibri" w:hAnsi="Calibri"/>
          <w:color w:val="222B3A"/>
          <w:sz w:val="21"/>
          <w:szCs w:val="21"/>
        </w:rPr>
        <w:t xml:space="preserve">Explore an issue status and resolution view inside the publisher dashboard, focused on moments such as a payment hold or an account review. It is a concept, not a built product, and not a dashboard redesign. It would let a publisher see:</w:t>
      </w:r>
    </w:p>
    <w:p>
      <w:pPr>
        <w:pStyle w:val="ListParagraph"/>
        <w:numPr>
          <w:ilvl w:val="0"/>
          <w:numId w:val="2"/>
        </w:numPr>
        <w:spacing w:after="60" w:line="276"/>
      </w:pPr>
      <w:r>
        <w:rPr>
          <w:rFonts w:ascii="Calibri" w:cs="Calibri" w:eastAsia="Calibri" w:hAnsi="Calibri"/>
          <w:b/>
          <w:bCs/>
          <w:color w:val="222B3A"/>
          <w:sz w:val="21"/>
          <w:szCs w:val="21"/>
        </w:rPr>
        <w:t xml:space="preserve">What is confirmed and what is still unknown, </w:t>
      </w:r>
      <w:r>
        <w:rPr>
          <w:rFonts w:ascii="Calibri" w:cs="Calibri" w:eastAsia="Calibri" w:hAnsi="Calibri"/>
          <w:color w:val="222B3A"/>
          <w:sz w:val="21"/>
          <w:szCs w:val="21"/>
        </w:rPr>
        <w:t xml:space="preserve">so the interface never implies certainty it does not have.</w:t>
      </w:r>
    </w:p>
    <w:p>
      <w:pPr>
        <w:pStyle w:val="ListParagraph"/>
        <w:numPr>
          <w:ilvl w:val="0"/>
          <w:numId w:val="2"/>
        </w:numPr>
        <w:spacing w:after="60" w:line="276"/>
      </w:pPr>
      <w:r>
        <w:rPr>
          <w:rFonts w:ascii="Calibri" w:cs="Calibri" w:eastAsia="Calibri" w:hAnsi="Calibri"/>
          <w:b/>
          <w:bCs/>
          <w:color w:val="222B3A"/>
          <w:sz w:val="21"/>
          <w:szCs w:val="21"/>
        </w:rPr>
        <w:t xml:space="preserve">Where the issue stands </w:t>
      </w:r>
      <w:r>
        <w:rPr>
          <w:rFonts w:ascii="Calibri" w:cs="Calibri" w:eastAsia="Calibri" w:hAnsi="Calibri"/>
          <w:color w:val="222B3A"/>
          <w:sz w:val="21"/>
          <w:szCs w:val="21"/>
        </w:rPr>
        <w:t xml:space="preserve">(for example open, under review, resolved).</w:t>
      </w:r>
    </w:p>
    <w:p>
      <w:pPr>
        <w:pStyle w:val="ListParagraph"/>
        <w:numPr>
          <w:ilvl w:val="0"/>
          <w:numId w:val="2"/>
        </w:numPr>
        <w:spacing w:after="60" w:line="276"/>
      </w:pPr>
      <w:r>
        <w:rPr>
          <w:rFonts w:ascii="Calibri" w:cs="Calibri" w:eastAsia="Calibri" w:hAnsi="Calibri"/>
          <w:b/>
          <w:bCs/>
          <w:color w:val="222B3A"/>
          <w:sz w:val="21"/>
          <w:szCs w:val="21"/>
        </w:rPr>
        <w:t xml:space="preserve">Who owns the next step: </w:t>
      </w:r>
      <w:r>
        <w:rPr>
          <w:rFonts w:ascii="Calibri" w:cs="Calibri" w:eastAsia="Calibri" w:hAnsi="Calibri"/>
          <w:color w:val="222B3A"/>
          <w:sz w:val="21"/>
          <w:szCs w:val="21"/>
        </w:rPr>
        <w:t xml:space="preserve">the publisher, the platform team or an outside party.</w:t>
      </w:r>
    </w:p>
    <w:p>
      <w:pPr>
        <w:pStyle w:val="ListParagraph"/>
        <w:numPr>
          <w:ilvl w:val="0"/>
          <w:numId w:val="2"/>
        </w:numPr>
        <w:spacing w:after="60" w:line="276"/>
      </w:pPr>
      <w:r>
        <w:rPr>
          <w:rFonts w:ascii="Calibri" w:cs="Calibri" w:eastAsia="Calibri" w:hAnsi="Calibri"/>
          <w:b/>
          <w:bCs/>
          <w:color w:val="222B3A"/>
          <w:sz w:val="21"/>
          <w:szCs w:val="21"/>
        </w:rPr>
        <w:t xml:space="preserve">Where to get help, </w:t>
      </w:r>
      <w:r>
        <w:rPr>
          <w:rFonts w:ascii="Calibri" w:cs="Calibri" w:eastAsia="Calibri" w:hAnsi="Calibri"/>
          <w:color w:val="222B3A"/>
          <w:sz w:val="21"/>
          <w:szCs w:val="21"/>
        </w:rPr>
        <w:t xml:space="preserve">with available context filled in.</w:t>
      </w:r>
    </w:p>
    <w:p>
      <w:pPr>
        <w:spacing w:after="40"/>
      </w:pPr>
    </w:p>
    <w:p>
      <w:pPr>
        <w:spacing w:after="120" w:before="0" w:line="288"/>
      </w:pPr>
      <w:r>
        <w:rPr>
          <w:rFonts w:ascii="Calibri" w:cs="Calibri" w:eastAsia="Calibri" w:hAnsi="Calibri"/>
          <w:i/>
          <w:iCs/>
          <w:color w:val="5B6475"/>
          <w:sz w:val="21"/>
          <w:szCs w:val="21"/>
        </w:rPr>
        <w:t xml:space="preserve">Example for a payment under review: "Under review. The payment has not been released yet. No action needed, or send the requested information. Platform review team is handling it." This is illustrative, not Media.net’s workflow or data.</w:t>
      </w:r>
    </w:p>
    <w:p>
      <w:pPr>
        <w:spacing w:after="120" w:before="0" w:line="288"/>
      </w:pPr>
      <w:r>
        <w:rPr>
          <w:rFonts w:ascii="Calibri" w:cs="Calibri" w:eastAsia="Calibri" w:hAnsi="Calibri"/>
          <w:b/>
          <w:bCs/>
          <w:color w:val="222B3A"/>
          <w:sz w:val="21"/>
          <w:szCs w:val="21"/>
        </w:rPr>
        <w:t xml:space="preserve">Not goals: </w:t>
      </w:r>
      <w:r>
        <w:rPr>
          <w:rFonts w:ascii="Calibri" w:cs="Calibri" w:eastAsia="Calibri" w:hAnsi="Calibri"/>
          <w:color w:val="222B3A"/>
          <w:sz w:val="21"/>
          <w:szCs w:val="21"/>
        </w:rPr>
        <w:t xml:space="preserve">redesigning the dashboard, guaranteeing revenue, claiming churn reduction, replacing human support, or giving a cause the system cannot support.</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7. Validation plan</w:t>
      </w:r>
    </w:p>
    <w:p>
      <w:pPr>
        <w:keepNext/>
        <w:spacing w:after="120" w:before="0" w:line="288"/>
      </w:pPr>
      <w:r>
        <w:rPr>
          <w:rFonts w:ascii="Calibri" w:cs="Calibri" w:eastAsia="Calibri" w:hAnsi="Calibri"/>
          <w:color w:val="222B3A"/>
          <w:sz w:val="21"/>
          <w:szCs w:val="21"/>
        </w:rPr>
        <w:t xml:space="preserve">Before building anything, hold 5 conversations with small publishers or site owners about a recent real issue, using neutral questions such as "Tell me about the last time you had an unexpected monetization, payment or account issue. What happened, and how was it resolved?" If fewer than 5 are recruited, the result is reported as exploratory.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What I will look for</w:t>
            </w:r>
          </w:p>
        </w:tc>
        <w:tc>
          <w:tcPr>
            <w:tcW w:type="dxa" w:w="44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What it decides</w:t>
            </w:r>
          </w:p>
        </w:tc>
      </w:tr>
      <w:tr>
        <w:trPr>
          <w:cantSplit/>
        </w:trPr>
        <w:tc>
          <w:tcPr>
            <w:tcW w:type="dxa" w:w="5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Do most describe real difficulty understanding, getting help or resolving an issue?</w:t>
            </w:r>
          </w:p>
        </w:tc>
        <w:tc>
          <w:tcPr>
            <w:tcW w:type="dxa" w:w="44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If fewer than 3 of 5 do, I rethink the direction.</w:t>
            </w:r>
          </w:p>
        </w:tc>
      </w:tr>
      <w:tr>
        <w:trPr>
          <w:cantSplit/>
        </w:trPr>
        <w:tc>
          <w:tcPr>
            <w:tcW w:type="dxa" w:w="5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Is the frustration the problem itself, or how it was handled? (the opposite test)</w:t>
            </w:r>
          </w:p>
        </w:tc>
        <w:tc>
          <w:tcPr>
            <w:tcW w:type="dxa" w:w="44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Shows whether better resolution would change the experience.</w:t>
            </w:r>
          </w:p>
        </w:tc>
      </w:tr>
      <w:tr>
        <w:trPr>
          <w:cantSplit/>
        </w:trPr>
        <w:tc>
          <w:tcPr>
            <w:tcW w:type="dxa" w:w="5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Which issue type comes up most: payment, account or performance?</w:t>
            </w:r>
          </w:p>
        </w:tc>
        <w:tc>
          <w:tcPr>
            <w:tcW w:type="dxa" w:w="44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Chooses the scenario to prototype.</w:t>
            </w:r>
          </w:p>
        </w:tc>
      </w:tr>
      <w:tr>
        <w:trPr>
          <w:cantSplit/>
        </w:trPr>
        <w:tc>
          <w:tcPr>
            <w:tcW w:type="dxa" w:w="5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222B3A"/>
                <w:sz w:val="19"/>
                <w:szCs w:val="19"/>
              </w:rPr>
              <w:t xml:space="preserve">Do they struggle to understand, or to decide and act?</w:t>
            </w:r>
          </w:p>
        </w:tc>
        <w:tc>
          <w:tcPr>
            <w:tcW w:type="dxa" w:w="44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If mostly to decide or act, I shift towards decision support.</w:t>
            </w:r>
          </w:p>
        </w:tc>
      </w:tr>
    </w:tbl>
    <w:p>
      <w:pPr>
        <w:spacing w:after="80"/>
      </w:pPr>
    </w:p>
    <w:p>
      <w:pPr>
        <w:spacing w:after="120" w:before="0" w:line="288"/>
      </w:pPr>
      <w:r>
        <w:rPr>
          <w:rFonts w:ascii="Calibri" w:cs="Calibri" w:eastAsia="Calibri" w:hAnsi="Calibri"/>
          <w:b/>
          <w:bCs/>
          <w:color w:val="222B3A"/>
          <w:sz w:val="21"/>
          <w:szCs w:val="21"/>
        </w:rPr>
        <w:t xml:space="preserve">Prototype test. </w:t>
      </w:r>
      <w:r>
        <w:rPr>
          <w:rFonts w:ascii="Calibri" w:cs="Calibri" w:eastAsia="Calibri" w:hAnsi="Calibri"/>
          <w:color w:val="222B3A"/>
          <w:sz w:val="21"/>
          <w:szCs w:val="21"/>
        </w:rPr>
        <w:t xml:space="preserve">Build a Figma prototype of one scenario and test it with about 5 people. They should be able to say what is happening, who owns the next step, where to get help and whether the issue is resolved. The target is about 4 of 5 succeeding. That is a design target, not a population benchmark.</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8. Metrics, if built in a real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19"/>
        <w:gridCol w:w="3519"/>
      </w:tblGrid>
      <w:tr>
        <w:trPr>
          <w:cantSplit/>
          <w:tblHeader/>
        </w:trPr>
        <w:tc>
          <w:tcPr>
            <w:tcW w:type="dxa" w:w="24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Primary metric</w:t>
            </w:r>
          </w:p>
        </w:tc>
        <w:tc>
          <w:tcPr>
            <w:tcW w:type="dxa" w:w="3719"/>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Product outcomes</w:t>
            </w:r>
          </w:p>
        </w:tc>
        <w:tc>
          <w:tcPr>
            <w:tcW w:type="dxa" w:w="3519"/>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Operational metrics</w:t>
            </w:r>
          </w:p>
        </w:tc>
      </w:tr>
      <w:tr>
        <w:trPr>
          <w:cantSplit/>
        </w:trPr>
        <w:tc>
          <w:tcPr>
            <w:tcW w:type="dxa" w:w="24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bCs/>
                <w:color w:val="222B3A"/>
                <w:sz w:val="19"/>
                <w:szCs w:val="19"/>
              </w:rPr>
              <w:t xml:space="preserve">Successful issue-resolution rate</w:t>
            </w:r>
          </w:p>
        </w:tc>
        <w:tc>
          <w:tcPr>
            <w:tcW w:type="dxa" w:w="3719"/>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Status understanding; action completion; appropriate help completion; resolution understanding</w:t>
            </w:r>
          </w:p>
        </w:tc>
        <w:tc>
          <w:tcPr>
            <w:tcW w:type="dxa" w:w="3519"/>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Time to resolution; time to first response; repeat contact and reopen rate; escalation rate</w:t>
            </w:r>
          </w:p>
        </w:tc>
      </w:tr>
    </w:tbl>
    <w:p>
      <w:pPr>
        <w:spacing w:after="80"/>
      </w:pPr>
    </w:p>
    <w:p>
      <w:pPr>
        <w:spacing w:after="120" w:before="0" w:line="288"/>
      </w:pPr>
      <w:r>
        <w:rPr>
          <w:rFonts w:ascii="Calibri" w:cs="Calibri" w:eastAsia="Calibri" w:hAnsi="Calibri"/>
          <w:color w:val="222B3A"/>
          <w:sz w:val="21"/>
          <w:szCs w:val="21"/>
        </w:rPr>
        <w:t xml:space="preserve">There is no baseline data and no impact is claimed. A lower support-contact rate is not automatically good if users simply cannot get help.</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9. Where this stands</w:t>
      </w:r>
    </w:p>
    <w:p>
      <w:pPr>
        <w:pStyle w:val="ListParagraph"/>
        <w:numPr>
          <w:ilvl w:val="0"/>
          <w:numId w:val="2"/>
        </w:numPr>
        <w:spacing w:after="60" w:line="276"/>
      </w:pPr>
      <w:r>
        <w:rPr>
          <w:rFonts w:ascii="Calibri" w:cs="Calibri" w:eastAsia="Calibri" w:hAnsi="Calibri"/>
          <w:b/>
          <w:bCs/>
          <w:color w:val="222B3A"/>
          <w:sz w:val="21"/>
          <w:szCs w:val="21"/>
        </w:rPr>
        <w:t xml:space="preserve">Done: </w:t>
      </w:r>
      <w:r>
        <w:rPr>
          <w:rFonts w:ascii="Calibri" w:cs="Calibri" w:eastAsia="Calibri" w:hAnsi="Calibri"/>
          <w:color w:val="222B3A"/>
          <w:sz w:val="21"/>
          <w:szCs w:val="21"/>
        </w:rPr>
        <w:t xml:space="preserve">journey teardown, 12 verified reports coded, AdSense documentation comparison, working hypothesis and validation plan.</w:t>
      </w:r>
    </w:p>
    <w:p>
      <w:pPr>
        <w:pStyle w:val="ListParagraph"/>
        <w:numPr>
          <w:ilvl w:val="0"/>
          <w:numId w:val="2"/>
        </w:numPr>
        <w:spacing w:after="60" w:line="276"/>
      </w:pPr>
      <w:r>
        <w:rPr>
          <w:rFonts w:ascii="Calibri" w:cs="Calibri" w:eastAsia="Calibri" w:hAnsi="Calibri"/>
          <w:b/>
          <w:bCs/>
          <w:color w:val="222B3A"/>
          <w:sz w:val="21"/>
          <w:szCs w:val="21"/>
        </w:rPr>
        <w:t xml:space="preserve">By 7 October 2026: </w:t>
      </w:r>
      <w:r>
        <w:rPr>
          <w:rFonts w:ascii="Calibri" w:cs="Calibri" w:eastAsia="Calibri" w:hAnsi="Calibri"/>
          <w:color w:val="222B3A"/>
          <w:sz w:val="21"/>
          <w:szCs w:val="21"/>
        </w:rPr>
        <w:t xml:space="preserve">verify the 8 pending reports, collect up to 10 newer Media.net and up to 10 AdSense reports, re-check the hypothesis, then freeze the evidence.</w:t>
      </w:r>
    </w:p>
    <w:p>
      <w:pPr>
        <w:pStyle w:val="ListParagraph"/>
        <w:numPr>
          <w:ilvl w:val="0"/>
          <w:numId w:val="2"/>
        </w:numPr>
        <w:spacing w:after="60" w:line="276"/>
      </w:pPr>
      <w:r>
        <w:rPr>
          <w:rFonts w:ascii="Calibri" w:cs="Calibri" w:eastAsia="Calibri" w:hAnsi="Calibri"/>
          <w:b/>
          <w:bCs/>
          <w:color w:val="222B3A"/>
          <w:sz w:val="21"/>
          <w:szCs w:val="21"/>
        </w:rPr>
        <w:t xml:space="preserve">Now, in parallel: </w:t>
      </w:r>
      <w:r>
        <w:rPr>
          <w:rFonts w:ascii="Calibri" w:cs="Calibri" w:eastAsia="Calibri" w:hAnsi="Calibri"/>
          <w:color w:val="222B3A"/>
          <w:sz w:val="21"/>
          <w:szCs w:val="21"/>
        </w:rPr>
        <w:t xml:space="preserve">recruit the 5 participants. Their experiences, not the current guess, decide which scenario is prototyped.</w:t>
      </w:r>
    </w:p>
    <w:p>
      <w:pPr>
        <w:pStyle w:val="ListParagraph"/>
        <w:numPr>
          <w:ilvl w:val="0"/>
          <w:numId w:val="2"/>
        </w:numPr>
        <w:spacing w:after="60" w:line="276"/>
      </w:pPr>
      <w:r>
        <w:rPr>
          <w:rFonts w:ascii="Calibri" w:cs="Calibri" w:eastAsia="Calibri" w:hAnsi="Calibri"/>
          <w:b/>
          <w:bCs/>
          <w:color w:val="222B3A"/>
          <w:sz w:val="21"/>
          <w:szCs w:val="21"/>
        </w:rPr>
        <w:t xml:space="preserve">Then: </w:t>
      </w:r>
      <w:r>
        <w:rPr>
          <w:rFonts w:ascii="Calibri" w:cs="Calibri" w:eastAsia="Calibri" w:hAnsi="Calibri"/>
          <w:color w:val="222B3A"/>
          <w:sz w:val="21"/>
          <w:szCs w:val="21"/>
        </w:rPr>
        <w:t xml:space="preserve">prototype, usability test and iterate, with the results added to this document.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single" w:color="0F766E" w:sz="24"/>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b/>
                <w:bCs/>
                <w:color w:val="0F766E"/>
                <w:sz w:val="19"/>
                <w:szCs w:val="19"/>
              </w:rPr>
              <w:t xml:space="preserve">Position</w:t>
            </w:r>
          </w:p>
        </w:tc>
        <w:tc>
          <w:tcPr>
            <w:tcW w:type="dxa" w:w="7638"/>
            <w:tcBorders>
              <w:top w:val="none" w:color="FFFFFF" w:sz="0"/>
              <w:left w:val="none" w:color="FFFFFF" w:sz="0"/>
              <w:bottom w:val="single" w:color="CFE3E1" w:sz="4"/>
              <w:right w:val="none" w:color="FFFFFF" w:sz="0"/>
            </w:tcBorders>
            <w:shd w:fill="EEF4F4" w:color="auto" w:val="clear"/>
            <w:tcMar>
              <w:top w:type="dxa" w:w="80"/>
              <w:left w:type="dxa" w:w="110"/>
              <w:bottom w:type="dxa" w:w="80"/>
              <w:right w:type="dxa" w:w="110"/>
            </w:tcMar>
            <w:vAlign w:val="top"/>
          </w:tcPr>
          <w:p>
            <w:pPr>
              <w:keepNext w:val="false"/>
              <w:spacing w:after="0" w:line="264"/>
            </w:pPr>
            <w:r>
              <w:rPr>
                <w:rFonts w:ascii="Calibri" w:cs="Calibri" w:eastAsia="Calibri" w:hAnsi="Calibri"/>
                <w:color w:val="222B3A"/>
                <w:sz w:val="19"/>
                <w:szCs w:val="19"/>
              </w:rPr>
              <w:t xml:space="preserve">This case study presents a hypothesis worth testing, not a proven problem. It does not claim that Media.net has a support problem, that publishers leave because of payments, that its reporting is outdated today, or that the proposal would raise retention or revenue.</w:t>
            </w:r>
          </w:p>
        </w:tc>
      </w:tr>
    </w:tbl>
    <w:p>
      <w:pPr>
        <w:pStyle w:val="Heading1"/>
        <w:keepNext/>
        <w:pageBreakBefore/>
        <w:pBdr>
          <w:bottom w:val="single" w:color="D5DBE3" w:sz="6" w:space="4"/>
        </w:pBdr>
        <w:spacing w:after="140" w:before="0"/>
      </w:pPr>
      <w:r>
        <w:rPr>
          <w:rFonts w:ascii="Calibri" w:cs="Calibri" w:eastAsia="Calibri" w:hAnsi="Calibri"/>
          <w:b/>
          <w:bCs/>
          <w:color w:val="1F2A44"/>
          <w:sz w:val="32"/>
          <w:szCs w:val="32"/>
        </w:rPr>
        <w:t xml:space="preserve">Appendix A: the 12 verified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600"/>
        <w:gridCol w:w="5538"/>
        <w:gridCol w:w="1200"/>
      </w:tblGrid>
      <w:tr>
        <w:trPr>
          <w:cantSplit/>
          <w:tblHeader/>
        </w:trPr>
        <w:tc>
          <w:tcPr>
            <w:tcW w:type="dxa" w:w="5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t>
            </w:r>
          </w:p>
        </w:tc>
        <w:tc>
          <w:tcPr>
            <w:tcW w:type="dxa" w:w="8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Year</w:t>
            </w:r>
          </w:p>
        </w:tc>
        <w:tc>
          <w:tcPr>
            <w:tcW w:type="dxa" w:w="16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Source</w:t>
            </w:r>
          </w:p>
        </w:tc>
        <w:tc>
          <w:tcPr>
            <w:tcW w:type="dxa" w:w="5538"/>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What was reported</w:t>
            </w:r>
          </w:p>
        </w:tc>
        <w:tc>
          <w:tcPr>
            <w:tcW w:type="dxa" w:w="1200"/>
            <w:tcBorders>
              <w:top w:val="single" w:color="D5DBE3" w:sz="4"/>
              <w:left w:val="single" w:color="D5DBE3" w:sz="4"/>
              <w:bottom w:val="single" w:color="D5DBE3" w:sz="4"/>
              <w:right w:val="single" w:color="D5DBE3" w:sz="4"/>
            </w:tcBorders>
            <w:shd w:fill="1F2A44" w:color="auto" w:val="clear"/>
            <w:tcMar>
              <w:top w:type="dxa" w:w="80"/>
              <w:left w:type="dxa" w:w="110"/>
              <w:bottom w:type="dxa" w:w="80"/>
              <w:right w:type="dxa" w:w="110"/>
            </w:tcMar>
            <w:vAlign w:val="top"/>
          </w:tcPr>
          <w:p>
            <w:pPr>
              <w:keepNext/>
              <w:spacing w:after="0" w:line="264"/>
            </w:pPr>
            <w:r>
              <w:rPr>
                <w:rFonts w:ascii="Calibri" w:cs="Calibri" w:eastAsia="Calibri" w:hAnsi="Calibri"/>
                <w:b/>
                <w:bCs/>
                <w:color w:val="FFFFFF"/>
                <w:sz w:val="19"/>
                <w:szCs w:val="19"/>
              </w:rPr>
              <w:t xml:space="preserve">Mood</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2023</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Easy approval and dashboard; lower CPC than AdSense</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2020</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Fast support (about 4 hours), but several representatives caused confusion</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3</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2020</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Suspended after 7 days with no specific reason; appeal unanswered; financial loss reported</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Negative</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4</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2020</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Positive about the dashboard; ad script sometimes caused problems</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5</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2019</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Each extra website needs a separate approval</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Neutral</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6</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2018</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Beginner-friendly; ad-layout tools basic</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7</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2018</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Ads took a long time to optimize</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Negative</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8</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2017</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Good service; reporting and ad-unit options limited</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9</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2017</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G2</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Good representative and on-time payment; reporting outdated</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10</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2022</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Trustpilot</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About 6 months to reach $100; alleged unpaid earnings; poor support; clunky dashboard</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Negative</w:t>
            </w:r>
          </w:p>
        </w:tc>
      </w:tr>
      <w:tr>
        <w:trPr>
          <w:cantSplit/>
        </w:trPr>
        <w:tc>
          <w:tcPr>
            <w:tcW w:type="dxa" w:w="5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11</w:t>
            </w:r>
          </w:p>
        </w:tc>
        <w:tc>
          <w:tcPr>
            <w:tcW w:type="dxa" w:w="8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2023</w:t>
            </w:r>
          </w:p>
        </w:tc>
        <w:tc>
          <w:tcPr>
            <w:tcW w:type="dxa" w:w="16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SwiftSalary</w:t>
            </w:r>
          </w:p>
        </w:tc>
        <w:tc>
          <w:tcPr>
            <w:tcW w:type="dxa" w:w="5538"/>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Customizable ads and helpful account managers; low RPM</w:t>
            </w:r>
          </w:p>
        </w:tc>
        <w:tc>
          <w:tcPr>
            <w:tcW w:type="dxa" w:w="1200"/>
            <w:tcBorders>
              <w:top w:val="single" w:color="D5DBE3" w:sz="4"/>
              <w:left w:val="single" w:color="D5DBE3" w:sz="4"/>
              <w:bottom w:val="single" w:color="D5DBE3" w:sz="4"/>
              <w:right w:val="single" w:color="D5DBE3" w:sz="4"/>
            </w:tcBorders>
            <w:tcMar>
              <w:top w:type="dxa" w:w="80"/>
              <w:left w:type="dxa" w:w="110"/>
              <w:bottom w:type="dxa" w:w="80"/>
              <w:right w:type="dxa" w:w="110"/>
            </w:tcMar>
            <w:vAlign w:val="top"/>
          </w:tcPr>
          <w:p>
            <w:pPr>
              <w:keepNext/>
              <w:spacing w:after="0" w:line="264"/>
            </w:pPr>
            <w:r>
              <w:rPr>
                <w:rFonts w:ascii="Calibri" w:cs="Calibri" w:eastAsia="Calibri" w:hAnsi="Calibri"/>
                <w:b w:val="false"/>
                <w:bCs w:val="false"/>
                <w:color w:val="222B3A"/>
                <w:sz w:val="19"/>
                <w:szCs w:val="19"/>
              </w:rPr>
              <w:t xml:space="preserve">Mixed</w:t>
            </w:r>
          </w:p>
        </w:tc>
      </w:tr>
      <w:tr>
        <w:trPr>
          <w:cantSplit/>
        </w:trPr>
        <w:tc>
          <w:tcPr>
            <w:tcW w:type="dxa" w:w="5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12</w:t>
            </w:r>
          </w:p>
        </w:tc>
        <w:tc>
          <w:tcPr>
            <w:tcW w:type="dxa" w:w="8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2020</w:t>
            </w:r>
          </w:p>
        </w:tc>
        <w:tc>
          <w:tcPr>
            <w:tcW w:type="dxa" w:w="16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BlackHatWorld</w:t>
            </w:r>
          </w:p>
        </w:tc>
        <w:tc>
          <w:tcPr>
            <w:tcW w:type="dxa" w:w="5538"/>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Non-payment and no further response reported (one forum thread)</w:t>
            </w:r>
          </w:p>
        </w:tc>
        <w:tc>
          <w:tcPr>
            <w:tcW w:type="dxa" w:w="1200"/>
            <w:tcBorders>
              <w:top w:val="single" w:color="D5DBE3" w:sz="4"/>
              <w:left w:val="single" w:color="D5DBE3" w:sz="4"/>
              <w:bottom w:val="single" w:color="D5DBE3" w:sz="4"/>
              <w:right w:val="single" w:color="D5DBE3" w:sz="4"/>
            </w:tcBorders>
            <w:shd w:fill="F7F9FB" w:color="auto" w:val="clear"/>
            <w:tcMar>
              <w:top w:type="dxa" w:w="80"/>
              <w:left w:type="dxa" w:w="110"/>
              <w:bottom w:type="dxa" w:w="80"/>
              <w:right w:type="dxa" w:w="110"/>
            </w:tcMar>
            <w:vAlign w:val="top"/>
          </w:tcPr>
          <w:p>
            <w:pPr>
              <w:keepNext w:val="false"/>
              <w:spacing w:after="0" w:line="264"/>
            </w:pPr>
            <w:r>
              <w:rPr>
                <w:rFonts w:ascii="Calibri" w:cs="Calibri" w:eastAsia="Calibri" w:hAnsi="Calibri"/>
                <w:b w:val="false"/>
                <w:bCs w:val="false"/>
                <w:color w:val="222B3A"/>
                <w:sz w:val="19"/>
                <w:szCs w:val="19"/>
              </w:rPr>
              <w:t xml:space="preserve">Negative</w:t>
            </w:r>
          </w:p>
        </w:tc>
      </w:tr>
    </w:tbl>
    <w:p>
      <w:pPr>
        <w:spacing w:after="80"/>
      </w:pPr>
    </w:p>
    <w:p>
      <w:pPr>
        <w:spacing w:after="120" w:before="0" w:line="288"/>
      </w:pPr>
      <w:r>
        <w:rPr>
          <w:rFonts w:ascii="Calibri" w:cs="Calibri" w:eastAsia="Calibri" w:hAnsi="Calibri"/>
          <w:color w:val="5B6475"/>
          <w:sz w:val="18"/>
          <w:szCs w:val="18"/>
        </w:rPr>
        <w:t xml:space="preserve">"Mood" is my coding of the whole report: positive, negative, neutral, or mixed (both favourable and unfavourable aspects).</w:t>
      </w:r>
    </w:p>
    <w:p>
      <w:pPr>
        <w:pStyle w:val="Heading1"/>
        <w:keepNext/>
        <w:pBdr>
          <w:bottom w:val="single" w:color="D5DBE3" w:sz="6" w:space="4"/>
        </w:pBdr>
        <w:spacing w:after="140" w:before="360"/>
      </w:pPr>
      <w:r>
        <w:rPr>
          <w:rFonts w:ascii="Calibri" w:cs="Calibri" w:eastAsia="Calibri" w:hAnsi="Calibri"/>
          <w:b/>
          <w:bCs/>
          <w:color w:val="1F2A44"/>
          <w:sz w:val="32"/>
          <w:szCs w:val="32"/>
        </w:rPr>
        <w:t xml:space="preserve">Appendix B: sources</w:t>
      </w:r>
    </w:p>
    <w:p>
      <w:pPr>
        <w:pStyle w:val="ListParagraph"/>
        <w:numPr>
          <w:ilvl w:val="0"/>
          <w:numId w:val="2"/>
        </w:numPr>
        <w:spacing w:after="60" w:line="276"/>
      </w:pPr>
      <w:r>
        <w:rPr>
          <w:rFonts w:ascii="Calibri" w:cs="Calibri" w:eastAsia="Calibri" w:hAnsi="Calibri"/>
          <w:color w:val="222B3A"/>
          <w:sz w:val="21"/>
          <w:szCs w:val="21"/>
        </w:rPr>
        <w:t xml:space="preserve">G2, Media.net reviews: g2.com/products/media-net/reviews</w:t>
      </w:r>
    </w:p>
    <w:p>
      <w:pPr>
        <w:pStyle w:val="ListParagraph"/>
        <w:numPr>
          <w:ilvl w:val="0"/>
          <w:numId w:val="2"/>
        </w:numPr>
        <w:spacing w:after="60" w:line="276"/>
      </w:pPr>
      <w:r>
        <w:rPr>
          <w:rFonts w:ascii="Calibri" w:cs="Calibri" w:eastAsia="Calibri" w:hAnsi="Calibri"/>
          <w:color w:val="222B3A"/>
          <w:sz w:val="21"/>
          <w:szCs w:val="21"/>
        </w:rPr>
        <w:t xml:space="preserve">Trustpilot, Media.net: trustpilot.com/review/media.net</w:t>
      </w:r>
    </w:p>
    <w:p>
      <w:pPr>
        <w:pStyle w:val="ListParagraph"/>
        <w:numPr>
          <w:ilvl w:val="0"/>
          <w:numId w:val="2"/>
        </w:numPr>
        <w:spacing w:after="60" w:line="276"/>
      </w:pPr>
      <w:r>
        <w:rPr>
          <w:rFonts w:ascii="Calibri" w:cs="Calibri" w:eastAsia="Calibri" w:hAnsi="Calibri"/>
          <w:color w:val="222B3A"/>
          <w:sz w:val="21"/>
          <w:szCs w:val="21"/>
        </w:rPr>
        <w:t xml:space="preserve">SwiftSalary, Media.net: swiftsalary.com/platform/media-net</w:t>
      </w:r>
    </w:p>
    <w:p>
      <w:pPr>
        <w:pStyle w:val="ListParagraph"/>
        <w:numPr>
          <w:ilvl w:val="0"/>
          <w:numId w:val="2"/>
        </w:numPr>
        <w:spacing w:after="60" w:line="276"/>
      </w:pPr>
      <w:r>
        <w:rPr>
          <w:rFonts w:ascii="Calibri" w:cs="Calibri" w:eastAsia="Calibri" w:hAnsi="Calibri"/>
          <w:color w:val="222B3A"/>
          <w:sz w:val="21"/>
          <w:szCs w:val="21"/>
        </w:rPr>
        <w:t xml:space="preserve">BlackHatWorld, Media.net threads: blackhatworld.com/tags/medianet</w:t>
      </w:r>
    </w:p>
    <w:p>
      <w:pPr>
        <w:pStyle w:val="ListParagraph"/>
        <w:numPr>
          <w:ilvl w:val="0"/>
          <w:numId w:val="2"/>
        </w:numPr>
        <w:spacing w:after="60" w:line="276"/>
      </w:pPr>
      <w:r>
        <w:rPr>
          <w:rFonts w:ascii="Calibri" w:cs="Calibri" w:eastAsia="Calibri" w:hAnsi="Calibri"/>
          <w:color w:val="222B3A"/>
          <w:sz w:val="21"/>
          <w:szCs w:val="21"/>
        </w:rPr>
        <w:t xml:space="preserve">Google AdSense Help: "Fix policy issues that affect ad serving" (support.google.com/adsense/answer/7003627)</w:t>
      </w:r>
    </w:p>
    <w:p>
      <w:pPr>
        <w:pStyle w:val="ListParagraph"/>
        <w:numPr>
          <w:ilvl w:val="0"/>
          <w:numId w:val="2"/>
        </w:numPr>
        <w:spacing w:after="60" w:line="276"/>
      </w:pPr>
      <w:r>
        <w:rPr>
          <w:rFonts w:ascii="Calibri" w:cs="Calibri" w:eastAsia="Calibri" w:hAnsi="Calibri"/>
          <w:color w:val="222B3A"/>
          <w:sz w:val="21"/>
          <w:szCs w:val="21"/>
        </w:rPr>
        <w:t xml:space="preserve">Google AdSense Help: "Common AdSense payment hold issues" (support.google.com/adsense/answer/164602)</w:t>
      </w:r>
    </w:p>
    <w:p>
      <w:pPr>
        <w:pStyle w:val="ListParagraph"/>
        <w:numPr>
          <w:ilvl w:val="0"/>
          <w:numId w:val="2"/>
        </w:numPr>
        <w:spacing w:after="60" w:line="276"/>
      </w:pPr>
      <w:r>
        <w:rPr>
          <w:rFonts w:ascii="Calibri" w:cs="Calibri" w:eastAsia="Calibri" w:hAnsi="Calibri"/>
          <w:color w:val="222B3A"/>
          <w:sz w:val="21"/>
          <w:szCs w:val="21"/>
        </w:rPr>
        <w:t xml:space="preserve">Google AdSense Help: "Support options AdSense offers" (support.google.com/adsense/answer/2581949)</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5"/>
        <w:sz w:val="16"/>
        <w:szCs w:val="16"/>
      </w:rPr>
      <w:t xml:space="preserve">Publisher Monetization PM Case Study  |  Independent student project  |  Page </w:t>
    </w:r>
    <w:r>
      <w:rPr>
        <w:rFonts w:ascii="Calibri" w:cs="Calibri" w:eastAsia="Calibri" w:hAnsi="Calibri"/>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Publisher Monetization PM Case Study</dc:title>
  <dc:creator>Sravya</dc:creator>
  <cp:lastModifiedBy>Un-named</cp:lastModifiedBy>
  <cp:revision>1</cp:revision>
  <dcterms:created xsi:type="dcterms:W3CDTF">2026-10-01T11:50:05.071Z</dcterms:created>
  <dcterms:modified xsi:type="dcterms:W3CDTF">2026-10-01T11:50:05.072Z</dcterms:modified>
</cp:coreProperties>
</file>

<file path=docProps/custom.xml><?xml version="1.0" encoding="utf-8"?>
<Properties xmlns="http://schemas.openxmlformats.org/officeDocument/2006/custom-properties" xmlns:vt="http://schemas.openxmlformats.org/officeDocument/2006/docPropsVTypes"/>
</file>