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 1 sets the code to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Line 3-7 Comment; unread by program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 9 sets the language as English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 10 creates a heading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 11 sets the title of the page as Template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 12 defines the pages character encoding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 13 sets the size of the window in which the page will be seen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Line 14 closes the heading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 16 creates the body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LIne 18 Comment; unread by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Line 19 creates a header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Line 20 creates my name in the largest heading size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 21 closes header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 23 Comment; unread by program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 24 defines navigation links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Line 25 defines unordered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Line 26 first item in unordered list; working link to index page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Line 27 second item in unordered list; working link to about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LIne 28 third item in unordered list; working link to contact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Line 29 closes unordered list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Line 30 closes navigation definition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Line 32 Comment; unread by program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Line 33 specifies main content of the document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LIne 35 creates a paragraph for main content; closes paragraph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Line 37 closes main content of page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LIne 39 Comment; unread by program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Line 40 defines footer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LIne 41 creates paragraph that includes copyright symbol and copyright text; closes paragraph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Line 42 closes footer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Line 44 closes body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Line 45 closes HTML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