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работу</w:t>
      </w:r>
      <w:r>
        <w:t xml:space="preserve"> </w:t>
      </w:r>
      <w:r>
        <w:t xml:space="preserve">с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пользоваться основными инструментами платформы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задания, указанные в лабораторной работе.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Простейшие операции</w:t>
      </w:r>
    </w:p>
    <w:p>
      <w:pPr>
        <w:pStyle w:val="CaptionedFigure"/>
      </w:pPr>
      <w:bookmarkStart w:id="23" w:name="fig:001"/>
      <w:r>
        <w:drawing>
          <wp:inline>
            <wp:extent cx="4438650" cy="6677025"/>
            <wp:effectExtent b="0" l="0" r="0" t="0"/>
            <wp:docPr descr="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Простейшие операции</w:t>
      </w:r>
    </w:p>
    <w:p>
      <w:pPr>
        <w:numPr>
          <w:ilvl w:val="0"/>
          <w:numId w:val="1002"/>
        </w:numPr>
        <w:pStyle w:val="Compact"/>
      </w:pPr>
      <w:r>
        <w:t xml:space="preserve">Операции векторами</w:t>
      </w:r>
    </w:p>
    <w:p>
      <w:pPr>
        <w:pStyle w:val="CaptionedFigure"/>
      </w:pPr>
      <w:bookmarkStart w:id="25" w:name="fig:002"/>
      <w:r>
        <w:drawing>
          <wp:inline>
            <wp:extent cx="3800475" cy="6791325"/>
            <wp:effectExtent b="0" l="0" r="0" t="0"/>
            <wp:docPr descr="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Операции с векторами</w:t>
      </w:r>
    </w:p>
    <w:p>
      <w:pPr>
        <w:numPr>
          <w:ilvl w:val="0"/>
          <w:numId w:val="1003"/>
        </w:numPr>
        <w:pStyle w:val="Compact"/>
      </w:pPr>
      <w:r>
        <w:t xml:space="preserve">Вычисление проектора</w:t>
      </w:r>
    </w:p>
    <w:p>
      <w:pPr>
        <w:pStyle w:val="CaptionedFigure"/>
      </w:pPr>
      <w:bookmarkStart w:id="27" w:name="fig:003"/>
      <w:r>
        <w:drawing>
          <wp:inline>
            <wp:extent cx="4619625" cy="6838950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Вычисление проектора</w:t>
      </w:r>
    </w:p>
    <w:p>
      <w:pPr>
        <w:numPr>
          <w:ilvl w:val="0"/>
          <w:numId w:val="1004"/>
        </w:numPr>
        <w:pStyle w:val="Compact"/>
      </w:pPr>
      <w:r>
        <w:t xml:space="preserve">Матричные опперации</w:t>
      </w:r>
    </w:p>
    <w:p>
      <w:pPr>
        <w:pStyle w:val="CaptionedFigure"/>
      </w:pPr>
      <w:bookmarkStart w:id="29" w:name="fig:004"/>
      <w:r>
        <w:drawing>
          <wp:inline>
            <wp:extent cx="4714875" cy="5429250"/>
            <wp:effectExtent b="0" l="0" r="0" t="0"/>
            <wp:docPr descr="Матричные операции 1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Матричные операции 1</w:t>
      </w:r>
    </w:p>
    <w:p>
      <w:pPr>
        <w:pStyle w:val="CaptionedFigure"/>
      </w:pPr>
      <w:bookmarkStart w:id="31" w:name="fig:005"/>
      <w:r>
        <w:drawing>
          <wp:inline>
            <wp:extent cx="4324350" cy="6696075"/>
            <wp:effectExtent b="0" l="0" r="0" t="0"/>
            <wp:docPr descr="Матричные операции 2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Матричные операции 2</w:t>
      </w:r>
    </w:p>
    <w:p>
      <w:pPr>
        <w:numPr>
          <w:ilvl w:val="0"/>
          <w:numId w:val="1005"/>
        </w:numPr>
        <w:pStyle w:val="Compact"/>
      </w:pPr>
      <w:r>
        <w:t xml:space="preserve">Построение простейших графиков</w:t>
      </w:r>
    </w:p>
    <w:p>
      <w:pPr>
        <w:pStyle w:val="CaptionedFigure"/>
      </w:pPr>
      <w:bookmarkStart w:id="33" w:name="fig:006"/>
      <w:r>
        <w:drawing>
          <wp:inline>
            <wp:extent cx="4133850" cy="4848225"/>
            <wp:effectExtent b="0" l="0" r="0" t="0"/>
            <wp:docPr descr="График y=sin(x)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График y=sin(x)</w:t>
      </w:r>
    </w:p>
    <w:p>
      <w:pPr>
        <w:pStyle w:val="CaptionedFigure"/>
      </w:pPr>
      <w:bookmarkStart w:id="35" w:name="fig:007"/>
      <w:r>
        <w:drawing>
          <wp:inline>
            <wp:extent cx="4772025" cy="4591050"/>
            <wp:effectExtent b="0" l="0" r="0" t="0"/>
            <wp:docPr descr="Улучшенный график y=sin(x)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Улучшенный график y=sin(x)</w:t>
      </w:r>
    </w:p>
    <w:p>
      <w:pPr>
        <w:numPr>
          <w:ilvl w:val="0"/>
          <w:numId w:val="1006"/>
        </w:numPr>
        <w:pStyle w:val="Compact"/>
      </w:pPr>
      <w:r>
        <w:t xml:space="preserve">Два графика на одном чертеже</w:t>
      </w:r>
    </w:p>
    <w:p>
      <w:pPr>
        <w:pStyle w:val="CaptionedFigure"/>
      </w:pPr>
      <w:bookmarkStart w:id="37" w:name="fig:008"/>
      <w:r>
        <w:drawing>
          <wp:inline>
            <wp:extent cx="5334000" cy="5767733"/>
            <wp:effectExtent b="0" l="0" r="0" t="0"/>
            <wp:docPr descr="Два графика на одном чертеже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7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Два графика на одном чертеже</w:t>
      </w:r>
    </w:p>
    <w:p>
      <w:pPr>
        <w:numPr>
          <w:ilvl w:val="0"/>
          <w:numId w:val="1007"/>
        </w:numPr>
        <w:pStyle w:val="Compact"/>
      </w:pPr>
      <w:r>
        <w:t xml:space="preserve">График y=x^2sinx</w:t>
      </w:r>
    </w:p>
    <w:p>
      <w:pPr>
        <w:pStyle w:val="CaptionedFigure"/>
      </w:pPr>
      <w:bookmarkStart w:id="39" w:name="fig:009"/>
      <w:r>
        <w:drawing>
          <wp:inline>
            <wp:extent cx="4314825" cy="4533900"/>
            <wp:effectExtent b="0" l="0" r="0" t="0"/>
            <wp:docPr descr="График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График</w:t>
      </w:r>
    </w:p>
    <w:p>
      <w:pPr>
        <w:numPr>
          <w:ilvl w:val="0"/>
          <w:numId w:val="1008"/>
        </w:numPr>
        <w:pStyle w:val="Compact"/>
      </w:pPr>
      <w:r>
        <w:t xml:space="preserve">Сравнение циклов и операций с векторами</w:t>
      </w:r>
    </w:p>
    <w:p>
      <w:pPr>
        <w:pStyle w:val="CaptionedFigure"/>
      </w:pPr>
      <w:bookmarkStart w:id="41" w:name="fig:0010"/>
      <w:r>
        <w:drawing>
          <wp:inline>
            <wp:extent cx="5334000" cy="4969726"/>
            <wp:effectExtent b="0" l="0" r="0" t="0"/>
            <wp:docPr descr="Сравнение циклов и операций с векторами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9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Сравнение циклов и операций с векторами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Научились пользоваться основными инструментами Octave.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Ким Илья Владиславович</dc:creator>
  <dc:language>ru-RU</dc:language>
  <cp:keywords/>
  <dcterms:created xsi:type="dcterms:W3CDTF">2021-09-12T03:39:39Z</dcterms:created>
  <dcterms:modified xsi:type="dcterms:W3CDTF">2021-09-12T03:39:39Z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Введение в работу с Octave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