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4.jpg" ContentType="image/jpeg"/>
  <Override PartName="/word/media/rId42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60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68.jpg" ContentType="image/jpeg"/>
  <Override PartName="/word/media/rId70.jpg" ContentType="image/jpeg"/>
  <Override PartName="/word/media/rId72.jpg" ContentType="image/jpeg"/>
  <Override PartName="/word/media/rId7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Графики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применять Octave с графиками.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отчет по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отчета просьба предоставить отчеты в 3 форматах: pdf,docx и md(в архиве, поскольку он должен содержать скриншоты, Markfile и т.д)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Графики</w:t>
      </w:r>
    </w:p>
    <w:p>
      <w:pPr>
        <w:numPr>
          <w:ilvl w:val="0"/>
          <w:numId w:val="1002"/>
        </w:numPr>
        <w:pStyle w:val="Compact"/>
      </w:pPr>
      <w:r>
        <w:t xml:space="preserve">Параметрические графики</w:t>
      </w:r>
    </w:p>
    <w:p>
      <w:pPr>
        <w:pStyle w:val="CaptionedFigure"/>
      </w:pPr>
      <w:bookmarkStart w:id="23" w:name="fig:001"/>
      <w:r>
        <w:drawing>
          <wp:inline>
            <wp:extent cx="3590925" cy="1057275"/>
            <wp:effectExtent b="0" l="0" r="0" t="0"/>
            <wp:docPr descr="Параметрические график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Параметрические графики</w:t>
      </w:r>
    </w:p>
    <w:p>
      <w:pPr>
        <w:pStyle w:val="CaptionedFigure"/>
      </w:pPr>
      <w:bookmarkStart w:id="25" w:name="fig:002"/>
      <w:r>
        <w:drawing>
          <wp:inline>
            <wp:extent cx="2686050" cy="5133975"/>
            <wp:effectExtent b="0" l="0" r="0" t="0"/>
            <wp:docPr descr="Параметрический график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Параметрический график</w:t>
      </w:r>
    </w:p>
    <w:p>
      <w:pPr>
        <w:numPr>
          <w:ilvl w:val="0"/>
          <w:numId w:val="1003"/>
        </w:numPr>
        <w:pStyle w:val="Compact"/>
      </w:pPr>
      <w:r>
        <w:t xml:space="preserve">Полярные координаты</w:t>
      </w:r>
    </w:p>
    <w:p>
      <w:pPr>
        <w:pStyle w:val="CaptionedFigure"/>
      </w:pPr>
      <w:bookmarkStart w:id="27" w:name="fig:003"/>
      <w:r>
        <w:drawing>
          <wp:inline>
            <wp:extent cx="4467225" cy="2171700"/>
            <wp:effectExtent b="0" l="0" r="0" t="0"/>
            <wp:docPr descr="Графики в полярных координатах 1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в полярных координатах 1</w:t>
      </w:r>
    </w:p>
    <w:p>
      <w:pPr>
        <w:pStyle w:val="CaptionedFigure"/>
      </w:pPr>
      <w:bookmarkStart w:id="29" w:name="fig:004"/>
      <w:r>
        <w:drawing>
          <wp:inline>
            <wp:extent cx="2438400" cy="438150"/>
            <wp:effectExtent b="0" l="0" r="0" t="0"/>
            <wp:docPr descr="Графики в полярных координатах 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Графики в полярных координатах 2</w:t>
      </w:r>
    </w:p>
    <w:p>
      <w:pPr>
        <w:pStyle w:val="CaptionedFigure"/>
      </w:pPr>
      <w:bookmarkStart w:id="31" w:name="fig:005"/>
      <w:r>
        <w:drawing>
          <wp:inline>
            <wp:extent cx="3009900" cy="4524375"/>
            <wp:effectExtent b="0" l="0" r="0" t="0"/>
            <wp:docPr descr="Графики в полярных координатах 3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Графики в полярных координатах 3</w:t>
      </w:r>
    </w:p>
    <w:p>
      <w:pPr>
        <w:pStyle w:val="CaptionedFigure"/>
      </w:pPr>
      <w:bookmarkStart w:id="33" w:name="fig:006"/>
      <w:r>
        <w:drawing>
          <wp:inline>
            <wp:extent cx="2895600" cy="828675"/>
            <wp:effectExtent b="0" l="0" r="0" t="0"/>
            <wp:docPr descr="Графики в полярных координатах 4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Графики в полярных координатах 4</w:t>
      </w:r>
    </w:p>
    <w:p>
      <w:pPr>
        <w:pStyle w:val="CaptionedFigure"/>
      </w:pPr>
      <w:bookmarkStart w:id="35" w:name="fig:007"/>
      <w:r>
        <w:drawing>
          <wp:inline>
            <wp:extent cx="3048000" cy="5314950"/>
            <wp:effectExtent b="0" l="0" r="0" t="0"/>
            <wp:docPr descr="Графики в полярных координатах 5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Графики в полярных координатах 5</w:t>
      </w:r>
    </w:p>
    <w:p>
      <w:pPr>
        <w:numPr>
          <w:ilvl w:val="0"/>
          <w:numId w:val="1004"/>
        </w:numPr>
        <w:pStyle w:val="Compact"/>
      </w:pPr>
      <w:r>
        <w:t xml:space="preserve">Графики неявных функций</w:t>
      </w:r>
    </w:p>
    <w:p>
      <w:pPr>
        <w:pStyle w:val="CaptionedFigure"/>
      </w:pPr>
      <w:bookmarkStart w:id="37" w:name="fig:008"/>
      <w:r>
        <w:drawing>
          <wp:inline>
            <wp:extent cx="4429125" cy="2762250"/>
            <wp:effectExtent b="0" l="0" r="0" t="0"/>
            <wp:docPr descr="Графики неявных функций 1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Графики неявных функций 1</w:t>
      </w:r>
    </w:p>
    <w:p>
      <w:pPr>
        <w:pStyle w:val="CaptionedFigure"/>
      </w:pPr>
      <w:bookmarkStart w:id="39" w:name="fig:009"/>
      <w:r>
        <w:drawing>
          <wp:inline>
            <wp:extent cx="3476625" cy="4905375"/>
            <wp:effectExtent b="0" l="0" r="0" t="0"/>
            <wp:docPr descr="Графики неявных функций 2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Графики неявных функций 2</w:t>
      </w:r>
    </w:p>
    <w:p>
      <w:pPr>
        <w:pStyle w:val="CaptionedFigure"/>
      </w:pPr>
      <w:bookmarkStart w:id="41" w:name="fig:010"/>
      <w:r>
        <w:drawing>
          <wp:inline>
            <wp:extent cx="4448175" cy="1114425"/>
            <wp:effectExtent b="0" l="0" r="0" t="0"/>
            <wp:docPr descr="Графики неявных функций 3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Графики неявных функций 3</w:t>
      </w:r>
    </w:p>
    <w:p>
      <w:pPr>
        <w:pStyle w:val="CaptionedFigure"/>
      </w:pPr>
      <w:bookmarkStart w:id="43" w:name="fig:011"/>
      <w:r>
        <w:drawing>
          <wp:inline>
            <wp:extent cx="4505325" cy="381000"/>
            <wp:effectExtent b="0" l="0" r="0" t="0"/>
            <wp:docPr descr="Графики неявных функций 4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Графики неявных функций 4</w:t>
      </w:r>
    </w:p>
    <w:p>
      <w:pPr>
        <w:pStyle w:val="CaptionedFigure"/>
      </w:pPr>
      <w:bookmarkStart w:id="45" w:name="fig:012"/>
      <w:r>
        <w:drawing>
          <wp:inline>
            <wp:extent cx="2847975" cy="4486275"/>
            <wp:effectExtent b="0" l="0" r="0" t="0"/>
            <wp:docPr descr="Графики неявных функций 5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Графики неявных функций 5</w:t>
      </w:r>
    </w:p>
    <w:p>
      <w:pPr>
        <w:pStyle w:val="CaptionedFigure"/>
      </w:pPr>
      <w:bookmarkStart w:id="47" w:name="fig:013"/>
      <w:r>
        <w:drawing>
          <wp:inline>
            <wp:extent cx="4229100" cy="2457450"/>
            <wp:effectExtent b="0" l="0" r="0" t="0"/>
            <wp:docPr descr="Графики неявных функций 6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Графики неявных функций 6</w:t>
      </w:r>
    </w:p>
    <w:p>
      <w:pPr>
        <w:pStyle w:val="CaptionedFigure"/>
      </w:pPr>
      <w:bookmarkStart w:id="49" w:name="fig:014"/>
      <w:r>
        <w:drawing>
          <wp:inline>
            <wp:extent cx="2819400" cy="4419600"/>
            <wp:effectExtent b="0" l="0" r="0" t="0"/>
            <wp:docPr descr="Касательная к графику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Касательная к графику</w:t>
      </w:r>
    </w:p>
    <w:p>
      <w:pPr>
        <w:numPr>
          <w:ilvl w:val="0"/>
          <w:numId w:val="1005"/>
        </w:numPr>
        <w:pStyle w:val="Compact"/>
      </w:pPr>
      <w:r>
        <w:t xml:space="preserve">Комплексные числа</w:t>
      </w:r>
    </w:p>
    <w:p>
      <w:pPr>
        <w:pStyle w:val="CaptionedFigure"/>
      </w:pPr>
      <w:bookmarkStart w:id="51" w:name="fig:015"/>
      <w:r>
        <w:drawing>
          <wp:inline>
            <wp:extent cx="4400550" cy="381000"/>
            <wp:effectExtent b="0" l="0" r="0" t="0"/>
            <wp:docPr descr="Комплексные числа 1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Комплексные числа 1</w:t>
      </w:r>
    </w:p>
    <w:p>
      <w:pPr>
        <w:pStyle w:val="CaptionedFigure"/>
      </w:pPr>
      <w:bookmarkStart w:id="53" w:name="fig:016"/>
      <w:r>
        <w:drawing>
          <wp:inline>
            <wp:extent cx="1866900" cy="1819275"/>
            <wp:effectExtent b="0" l="0" r="0" t="0"/>
            <wp:docPr descr="Комплексные числа 2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Комплексные числа 2</w:t>
      </w:r>
    </w:p>
    <w:p>
      <w:pPr>
        <w:pStyle w:val="CaptionedFigure"/>
      </w:pPr>
      <w:bookmarkStart w:id="55" w:name="fig:017"/>
      <w:r>
        <w:drawing>
          <wp:inline>
            <wp:extent cx="4438650" cy="714375"/>
            <wp:effectExtent b="0" l="0" r="0" t="0"/>
            <wp:docPr descr="Compass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Compass</w:t>
      </w:r>
    </w:p>
    <w:p>
      <w:pPr>
        <w:pStyle w:val="CaptionedFigure"/>
      </w:pPr>
      <w:bookmarkStart w:id="57" w:name="fig:018"/>
      <w:r>
        <w:drawing>
          <wp:inline>
            <wp:extent cx="4791075" cy="5057775"/>
            <wp:effectExtent b="0" l="0" r="0" t="0"/>
            <wp:docPr descr="Compass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Compass</w:t>
      </w:r>
    </w:p>
    <w:p>
      <w:pPr>
        <w:pStyle w:val="CaptionedFigure"/>
      </w:pPr>
      <w:bookmarkStart w:id="59" w:name="fig:019"/>
      <w:r>
        <w:drawing>
          <wp:inline>
            <wp:extent cx="4381500" cy="381000"/>
            <wp:effectExtent b="0" l="0" r="0" t="0"/>
            <wp:docPr descr="Комплексные числа 3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Комплексные числа 3</w:t>
      </w:r>
    </w:p>
    <w:p>
      <w:pPr>
        <w:pStyle w:val="CaptionedFigure"/>
      </w:pPr>
      <w:bookmarkStart w:id="61" w:name="fig:020"/>
      <w:r>
        <w:drawing>
          <wp:inline>
            <wp:extent cx="4486275" cy="552450"/>
            <wp:effectExtent b="0" l="0" r="0" t="0"/>
            <wp:docPr descr="Комплексные числа 4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Комплексные числа 4</w:t>
      </w:r>
    </w:p>
    <w:p>
      <w:pPr>
        <w:pStyle w:val="CaptionedFigure"/>
      </w:pPr>
      <w:bookmarkStart w:id="63" w:name="fig:021"/>
      <w:r>
        <w:drawing>
          <wp:inline>
            <wp:extent cx="2390775" cy="514350"/>
            <wp:effectExtent b="0" l="0" r="0" t="0"/>
            <wp:docPr descr="Комплексные числа 5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Комплексные числа 5</w:t>
      </w:r>
    </w:p>
    <w:p>
      <w:pPr>
        <w:pStyle w:val="CaptionedFigure"/>
      </w:pPr>
      <w:bookmarkStart w:id="65" w:name="fig:022"/>
      <w:r>
        <w:drawing>
          <wp:inline>
            <wp:extent cx="4476750" cy="714375"/>
            <wp:effectExtent b="0" l="0" r="0" t="0"/>
            <wp:docPr descr="Комплексные числа 6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Комплексные числа 6</w:t>
      </w:r>
    </w:p>
    <w:p>
      <w:pPr>
        <w:pStyle w:val="CaptionedFigure"/>
      </w:pPr>
      <w:bookmarkStart w:id="67" w:name="fig:023"/>
      <w:r>
        <w:drawing>
          <wp:inline>
            <wp:extent cx="1228725" cy="542925"/>
            <wp:effectExtent b="0" l="0" r="0" t="0"/>
            <wp:docPr descr="Комплексные числа 7" title="" id="1" name="Picture"/>
            <a:graphic>
              <a:graphicData uri="http://schemas.openxmlformats.org/drawingml/2006/picture">
                <pic:pic>
                  <pic:nvPicPr>
                    <pic:cNvPr descr="image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Комплексные числа 7</w:t>
      </w:r>
    </w:p>
    <w:p>
      <w:pPr>
        <w:numPr>
          <w:ilvl w:val="0"/>
          <w:numId w:val="1006"/>
        </w:numPr>
        <w:pStyle w:val="Compact"/>
      </w:pPr>
      <w:r>
        <w:t xml:space="preserve">Специальные функции</w:t>
      </w:r>
    </w:p>
    <w:p>
      <w:pPr>
        <w:pStyle w:val="CaptionedFigure"/>
      </w:pPr>
      <w:bookmarkStart w:id="69" w:name="fig:024"/>
      <w:r>
        <w:drawing>
          <wp:inline>
            <wp:extent cx="4495800" cy="2343150"/>
            <wp:effectExtent b="0" l="0" r="0" t="0"/>
            <wp:docPr descr="Специальные функции 1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Специальные функции 1</w:t>
      </w:r>
    </w:p>
    <w:p>
      <w:pPr>
        <w:pStyle w:val="CaptionedFigure"/>
      </w:pPr>
      <w:bookmarkStart w:id="71" w:name="fig:025"/>
      <w:r>
        <w:drawing>
          <wp:inline>
            <wp:extent cx="5086350" cy="4953000"/>
            <wp:effectExtent b="0" l="0" r="0" t="0"/>
            <wp:docPr descr="Графики n! и gamma(n+1)" title="" id="1" name="Picture"/>
            <a:graphic>
              <a:graphicData uri="http://schemas.openxmlformats.org/drawingml/2006/picture">
                <pic:pic>
                  <pic:nvPicPr>
                    <pic:cNvPr descr="image/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Графики n! и gamma(n+1)</w:t>
      </w:r>
    </w:p>
    <w:p>
      <w:pPr>
        <w:pStyle w:val="CaptionedFigure"/>
      </w:pPr>
      <w:bookmarkStart w:id="73" w:name="fig:026"/>
      <w:r>
        <w:drawing>
          <wp:inline>
            <wp:extent cx="4448175" cy="866775"/>
            <wp:effectExtent b="0" l="0" r="0" t="0"/>
            <wp:docPr descr="Специальные функции 2" title="" id="1" name="Picture"/>
            <a:graphic>
              <a:graphicData uri="http://schemas.openxmlformats.org/drawingml/2006/picture">
                <pic:pic>
                  <pic:nvPicPr>
                    <pic:cNvPr descr="image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Специальные функции 2</w:t>
      </w:r>
    </w:p>
    <w:p>
      <w:pPr>
        <w:pStyle w:val="CaptionedFigure"/>
      </w:pPr>
      <w:bookmarkStart w:id="75" w:name="fig:027"/>
      <w:r>
        <w:drawing>
          <wp:inline>
            <wp:extent cx="5238750" cy="3171825"/>
            <wp:effectExtent b="0" l="0" r="0" t="0"/>
            <wp:docPr descr="более точные графики n! и gamma(n+1)" title="" id="1" name="Picture"/>
            <a:graphic>
              <a:graphicData uri="http://schemas.openxmlformats.org/drawingml/2006/picture">
                <pic:pic>
                  <pic:nvPicPr>
                    <pic:cNvPr descr="image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более точные графики n! и gamma(n+1)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применять Octave с графиками.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70" Target="media/rId70.jpg" /><Relationship Type="http://schemas.openxmlformats.org/officeDocument/2006/relationships/image" Id="rId72" Target="media/rId72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Ким Илья Владиславович</dc:creator>
  <dc:language>ru-RU</dc:language>
  <cp:keywords/>
  <dcterms:created xsi:type="dcterms:W3CDTF">2021-09-12T11:41:54Z</dcterms:created>
  <dcterms:modified xsi:type="dcterms:W3CDTF">2021-09-12T11:41:54Z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Графики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