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26.jpg" ContentType="image/jpeg"/>
  <Override PartName="/word/media/rId38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базовые навыки построения математических моделей на примере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Нахождение x1 и x2 для нашего варианта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638145"/>
            <wp:effectExtent b="0" l="0" r="0" t="0"/>
            <wp:docPr descr="x1 и x2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x1 и x2</w:t>
      </w:r>
    </w:p>
    <w:p>
      <w:pPr>
        <w:numPr>
          <w:ilvl w:val="0"/>
          <w:numId w:val="1003"/>
        </w:numPr>
        <w:pStyle w:val="Compact"/>
      </w:pPr>
      <w:r>
        <w:t xml:space="preserve">Решение задачи о погоне в scilab для x1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143500" cy="3248025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3" w:name="fig:002"/>
      <w:r>
        <w:drawing>
          <wp:inline>
            <wp:extent cx="5334000" cy="4576972"/>
            <wp:effectExtent b="0" l="0" r="0" t="0"/>
            <wp:docPr descr="График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</w:t>
      </w:r>
    </w:p>
    <w:p>
      <w:pPr>
        <w:numPr>
          <w:ilvl w:val="0"/>
          <w:numId w:val="1004"/>
        </w:numPr>
        <w:pStyle w:val="Compact"/>
      </w:pPr>
      <w:r>
        <w:t xml:space="preserve">Решение задачи о погоне в scilab для x2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7" w:name="fig:005"/>
      <w:r>
        <w:drawing>
          <wp:inline>
            <wp:extent cx="5143500" cy="3238500"/>
            <wp:effectExtent b="0" l="0" r="0" t="0"/>
            <wp:docPr descr="Код программ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41" w:name="fig:004"/>
      <w:r>
        <w:drawing>
          <wp:inline>
            <wp:extent cx="5334000" cy="4604639"/>
            <wp:effectExtent b="0" l="0" r="0" t="0"/>
            <wp:docPr descr="График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График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базовые навыки построения математических моделей на примере задачи о погоне.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image" Id="rId38" Target="media/rId38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Ким Илья Владиславович</dc:creator>
  <dc:language>ru-RU</dc:language>
  <cp:keywords/>
  <dcterms:created xsi:type="dcterms:W3CDTF">2022-02-19T13:47:44Z</dcterms:created>
  <dcterms:modified xsi:type="dcterms:W3CDTF">2022-02-19T13:47:44Z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Вариант 51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