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9.png" ContentType="image/png"/>
  <Override PartName="/word/media/rId74.png" ContentType="image/png"/>
  <Override PartName="/word/media/rId78.png" ContentType="image/png"/>
  <Override PartName="/word/media/rId83.png" ContentType="image/png"/>
  <Override PartName="/word/media/rId8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Компьютерный практикум по статистическому анализу данных лабораторная работа №1</w:t>
      </w:r>
    </w:p>
    <w:p>
      <w:pPr>
        <w:pStyle w:val="Subtitle"/>
      </w:pPr>
      <w:r>
        <w:t xml:space="preserve">Julia. Установка и настройка. Основные принципы</w:t>
      </w:r>
    </w:p>
    <w:p>
      <w:pPr>
        <w:pStyle w:val="Author"/>
      </w:pPr>
      <w:r>
        <w:t xml:space="preserve">Ким Илья Владиславович НФИбд-01-21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Основная цель работы — подготовить рабочее пространство и инструментарий для</w:t>
      </w:r>
      <w:r>
        <w:t xml:space="preserve"> </w:t>
      </w:r>
      <w:r>
        <w:t xml:space="preserve">работы с языком программирования Julia, на простейших примерах познакомиться</w:t>
      </w:r>
      <w:r>
        <w:t xml:space="preserve"> </w:t>
      </w:r>
      <w:r>
        <w:t xml:space="preserve">с основами синтаксиса Julia.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Установите под свою операционную систему Julia, Jupyter (разделы 1.3.1 и 1.3.2).</w:t>
      </w:r>
    </w:p>
    <w:p>
      <w:pPr>
        <w:numPr>
          <w:ilvl w:val="0"/>
          <w:numId w:val="1001"/>
        </w:numPr>
      </w:pPr>
      <w:r>
        <w:t xml:space="preserve">Используя Jupyter Lab, повторите примеры из раздела 1.3.3.</w:t>
      </w:r>
    </w:p>
    <w:p>
      <w:pPr>
        <w:numPr>
          <w:ilvl w:val="0"/>
          <w:numId w:val="1001"/>
        </w:numPr>
      </w:pPr>
      <w:r>
        <w:t xml:space="preserve">Выполните задания для самостоятельной работы (раздел 1.3.4).</w:t>
      </w:r>
    </w:p>
    <w:bookmarkEnd w:id="21"/>
    <w:bookmarkStart w:id="22" w:name="задание-для-самостоятельной-работы"/>
    <w:p>
      <w:pPr>
        <w:pStyle w:val="Heading1"/>
      </w:pPr>
      <w:r>
        <w:t xml:space="preserve">Задание для самостоятельной работы</w:t>
      </w:r>
    </w:p>
    <w:p>
      <w:pPr>
        <w:numPr>
          <w:ilvl w:val="0"/>
          <w:numId w:val="1002"/>
        </w:numPr>
      </w:pPr>
      <w:r>
        <w:t xml:space="preserve">Изучите документацию по основным функциям Julia для чтения / записи / вывода информации на экран: read(), readline(), readlines(), readdlm(), print(),</w:t>
      </w:r>
      <w:r>
        <w:t xml:space="preserve"> </w:t>
      </w:r>
      <w:r>
        <w:t xml:space="preserve">println(), show(), write(). Приведите свои примеры их использования, поясняя особенности их применения.</w:t>
      </w:r>
    </w:p>
    <w:p>
      <w:pPr>
        <w:numPr>
          <w:ilvl w:val="0"/>
          <w:numId w:val="1002"/>
        </w:numPr>
      </w:pPr>
      <w:r>
        <w:t xml:space="preserve">Изучите документацию по функции parse(). Приведите свои примеры её использования, поясняя особенности её применения.</w:t>
      </w:r>
    </w:p>
    <w:p>
      <w:pPr>
        <w:numPr>
          <w:ilvl w:val="0"/>
          <w:numId w:val="1002"/>
        </w:numPr>
      </w:pPr>
      <w:r>
        <w:t xml:space="preserve">Изучите синтаксис Julia для базовых математических операций с разным типом переменных: сложение, вычитание, умножение, деление, возведение в степень, извлечение</w:t>
      </w:r>
      <w:r>
        <w:t xml:space="preserve"> </w:t>
      </w:r>
      <w:r>
        <w:t xml:space="preserve">корня, сравнение, логические операции. Приведите свои примеры с пояснениями по</w:t>
      </w:r>
      <w:r>
        <w:t xml:space="preserve"> </w:t>
      </w:r>
      <w:r>
        <w:t xml:space="preserve">особенностям их применения.</w:t>
      </w:r>
    </w:p>
    <w:p>
      <w:pPr>
        <w:numPr>
          <w:ilvl w:val="0"/>
          <w:numId w:val="1002"/>
        </w:numPr>
      </w:pPr>
      <w:r>
        <w:t xml:space="preserve">Приведите несколько своих примеров с пояснениями с операциями над матрицами</w:t>
      </w:r>
      <w:r>
        <w:t xml:space="preserve"> </w:t>
      </w:r>
      <w:r>
        <w:t xml:space="preserve">и векторами: сложение, вычитание, скалярное произведение, транспонирование,</w:t>
      </w:r>
      <w:r>
        <w:t xml:space="preserve"> </w:t>
      </w:r>
      <w:r>
        <w:t xml:space="preserve">умножение на скаляр.</w:t>
      </w:r>
    </w:p>
    <w:bookmarkEnd w:id="22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Установил Julia и Jupyter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FirstParagraph"/>
      </w:pPr>
      <w:bookmarkStart w:id="26" w:name="fig:001"/>
      <w:r>
        <w:drawing>
          <wp:inline>
            <wp:extent cx="3733800" cy="127805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8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Compact"/>
        <w:numPr>
          <w:ilvl w:val="0"/>
          <w:numId w:val="1004"/>
        </w:numPr>
      </w:pPr>
      <w:r>
        <w:t xml:space="preserve">Повторил примеры из раздела 1.3.3. (рис.</w:t>
      </w:r>
      <w:r>
        <w:t xml:space="preserve"> </w:t>
      </w:r>
      <w:r>
        <w:t xml:space="preserve">[-@fig:002]</w:t>
      </w:r>
      <w:r>
        <w:t xml:space="preserve">)(рис.</w:t>
      </w:r>
      <w:r>
        <w:t xml:space="preserve"> </w:t>
      </w:r>
      <w:r>
        <w:t xml:space="preserve">[-@fig:003]</w:t>
      </w:r>
      <w:r>
        <w:t xml:space="preserve">)(рис.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FirstParagraph"/>
      </w:pPr>
      <w:bookmarkStart w:id="30" w:name="fig:002"/>
      <w:r>
        <w:drawing>
          <wp:inline>
            <wp:extent cx="3733800" cy="2353313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bookmarkStart w:id="34" w:name="fig:003"/>
      <w:r>
        <w:drawing>
          <wp:inline>
            <wp:extent cx="3733800" cy="471888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8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bookmarkStart w:id="38" w:name="fig:004"/>
      <w:r>
        <w:drawing>
          <wp:inline>
            <wp:extent cx="3272589" cy="5245768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89" cy="5245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bookmarkEnd w:id="39"/>
    <w:bookmarkStart w:id="92" w:name="задания-для-самостоятельной-работы"/>
    <w:p>
      <w:pPr>
        <w:pStyle w:val="Heading1"/>
      </w:pPr>
      <w:r>
        <w:t xml:space="preserve">Задания для самостоятельной работы</w:t>
      </w:r>
    </w:p>
    <w:bookmarkStart w:id="68" w:name="задание-1"/>
    <w:p>
      <w:pPr>
        <w:pStyle w:val="Heading2"/>
      </w:pPr>
      <w:r>
        <w:t xml:space="preserve">Задание №1</w:t>
      </w:r>
    </w:p>
    <w:p>
      <w:pPr>
        <w:pStyle w:val="Compact"/>
        <w:numPr>
          <w:ilvl w:val="0"/>
          <w:numId w:val="1005"/>
        </w:numPr>
      </w:pPr>
      <w:r>
        <w:t xml:space="preserve">Прикрепил к проекту txt файл</w:t>
      </w:r>
      <w:r>
        <w:t xml:space="preserve"> </w:t>
      </w:r>
      <w:r>
        <w:t xml:space="preserve">“try.txt”</w:t>
      </w:r>
      <w:r>
        <w:t xml:space="preserve"> </w:t>
      </w:r>
      <w:r>
        <w:t xml:space="preserve">и прочитал его с помощью функции read()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FirstParagraph"/>
      </w:pPr>
      <w:bookmarkStart w:id="43" w:name="fig:005"/>
      <w:r>
        <w:drawing>
          <wp:inline>
            <wp:extent cx="2040555" cy="702644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555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Compact"/>
        <w:numPr>
          <w:ilvl w:val="0"/>
          <w:numId w:val="1006"/>
        </w:numPr>
      </w:pPr>
      <w:r>
        <w:t xml:space="preserve">Функция readline()читает первую строку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FirstParagraph"/>
      </w:pPr>
      <w:bookmarkStart w:id="47" w:name="fig:006"/>
      <w:r>
        <w:drawing>
          <wp:inline>
            <wp:extent cx="1867301" cy="721894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301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Compact"/>
        <w:numPr>
          <w:ilvl w:val="0"/>
          <w:numId w:val="1007"/>
        </w:numPr>
      </w:pPr>
      <w:r>
        <w:t xml:space="preserve">Функция readlines() считывает все строки из текстового файла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FirstParagraph"/>
      </w:pPr>
      <w:bookmarkStart w:id="51" w:name="fig:007"/>
      <w:r>
        <w:drawing>
          <wp:inline>
            <wp:extent cx="3311090" cy="1212783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90" cy="12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Compact"/>
        <w:numPr>
          <w:ilvl w:val="0"/>
          <w:numId w:val="1008"/>
        </w:numPr>
      </w:pPr>
      <w:r>
        <w:t xml:space="preserve">Функция print() выводит текст без перехода на новую строку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FirstParagraph"/>
      </w:pPr>
      <w:bookmarkStart w:id="55" w:name="fig:008"/>
      <w:r>
        <w:drawing>
          <wp:inline>
            <wp:extent cx="1482290" cy="779646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290" cy="77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Compact"/>
        <w:numPr>
          <w:ilvl w:val="0"/>
          <w:numId w:val="1009"/>
        </w:numPr>
      </w:pPr>
      <w:r>
        <w:t xml:space="preserve">Функция println() выводит текст с переходом на новую строку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FirstParagraph"/>
      </w:pPr>
      <w:bookmarkStart w:id="59" w:name="fig:009"/>
      <w:r>
        <w:drawing>
          <wp:inline>
            <wp:extent cx="1771048" cy="9529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48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Compact"/>
        <w:numPr>
          <w:ilvl w:val="0"/>
          <w:numId w:val="1010"/>
        </w:numPr>
      </w:pPr>
      <w:r>
        <w:t xml:space="preserve">Функция show() выводит все, что находится в скобках как оно есть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FirstParagraph"/>
      </w:pPr>
      <w:bookmarkStart w:id="63" w:name="fig:010"/>
      <w:r>
        <w:drawing>
          <wp:inline>
            <wp:extent cx="2223435" cy="847023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435" cy="84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Compact"/>
        <w:numPr>
          <w:ilvl w:val="0"/>
          <w:numId w:val="1011"/>
        </w:numPr>
      </w:pPr>
      <w:r>
        <w:t xml:space="preserve">С помощью функции write() можно записать текст в открытый файл(нужно указать режим открытия)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FirstParagraph"/>
      </w:pPr>
      <w:bookmarkStart w:id="67" w:name="fig:011"/>
      <w:r>
        <w:drawing>
          <wp:inline>
            <wp:extent cx="3301465" cy="167479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bookmarkEnd w:id="68"/>
    <w:bookmarkStart w:id="73" w:name="задание-2"/>
    <w:p>
      <w:pPr>
        <w:pStyle w:val="Heading2"/>
      </w:pPr>
      <w:r>
        <w:t xml:space="preserve">Задание №2</w:t>
      </w:r>
    </w:p>
    <w:p>
      <w:pPr>
        <w:pStyle w:val="Compact"/>
        <w:numPr>
          <w:ilvl w:val="0"/>
          <w:numId w:val="1012"/>
        </w:numPr>
      </w:pPr>
      <w:r>
        <w:t xml:space="preserve">Функция parse() позволяет преобразовать(распарсить) строку в числа или выражение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FirstParagraph"/>
      </w:pPr>
      <w:bookmarkStart w:id="72" w:name="fig:012"/>
      <w:r>
        <w:drawing>
          <wp:inline>
            <wp:extent cx="2858703" cy="389823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03" cy="3898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bookmarkEnd w:id="73"/>
    <w:bookmarkStart w:id="82" w:name="задание-3"/>
    <w:p>
      <w:pPr>
        <w:pStyle w:val="Heading2"/>
      </w:pPr>
      <w:r>
        <w:t xml:space="preserve">Задание №3</w:t>
      </w:r>
    </w:p>
    <w:p>
      <w:pPr>
        <w:pStyle w:val="Compact"/>
        <w:numPr>
          <w:ilvl w:val="0"/>
          <w:numId w:val="1013"/>
        </w:numPr>
      </w:pPr>
      <w:r>
        <w:t xml:space="preserve">Базовые математические операции (рис.</w:t>
      </w:r>
      <w:r>
        <w:t xml:space="preserve"> </w:t>
      </w:r>
      <w:r>
        <w:t xml:space="preserve">[-@fig:013]</w:t>
      </w:r>
      <w:r>
        <w:t xml:space="preserve">)(рис.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FirstParagraph"/>
      </w:pPr>
      <w:bookmarkStart w:id="77" w:name="fig:013"/>
      <w:r>
        <w:drawing>
          <wp:inline>
            <wp:extent cx="2781701" cy="4543124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01" cy="4543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BodyText"/>
      </w:pPr>
      <w:bookmarkStart w:id="81" w:name="fig:014"/>
      <w:r>
        <w:drawing>
          <wp:inline>
            <wp:extent cx="2079056" cy="6169793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616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bookmarkEnd w:id="82"/>
    <w:bookmarkStart w:id="91" w:name="задание-4"/>
    <w:p>
      <w:pPr>
        <w:pStyle w:val="Heading2"/>
      </w:pPr>
      <w:r>
        <w:t xml:space="preserve">Задание №4</w:t>
      </w:r>
    </w:p>
    <w:p>
      <w:pPr>
        <w:pStyle w:val="Compact"/>
        <w:numPr>
          <w:ilvl w:val="0"/>
          <w:numId w:val="1014"/>
        </w:numPr>
      </w:pPr>
      <w:r>
        <w:t xml:space="preserve">Операции над матрицами (рис.</w:t>
      </w:r>
      <w:r>
        <w:t xml:space="preserve"> </w:t>
      </w:r>
      <w:r>
        <w:t xml:space="preserve">[-@fig:015]</w:t>
      </w:r>
      <w:r>
        <w:t xml:space="preserve">)(рис.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FirstParagraph"/>
      </w:pPr>
      <w:bookmarkStart w:id="86" w:name="fig:015"/>
      <w:r>
        <w:drawing>
          <wp:inline>
            <wp:extent cx="2531444" cy="4283242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444" cy="428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bookmarkStart w:id="90" w:name="fig:016"/>
      <w:r>
        <w:drawing>
          <wp:inline>
            <wp:extent cx="2502568" cy="4697128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68" cy="4697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bookmarkEnd w:id="91"/>
    <w:bookmarkEnd w:id="92"/>
    <w:bookmarkStart w:id="9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Подготовил рабочее пространство и иструментарий для работы с языком программирования Julia, на простейших примерах познакомился с основами синтаксиса Julia. Выполнил задания для самостоятельной работы.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Компьютерный практикум по статистическому анализу данных лабораторная работа №1</dc:title>
  <dc:creator>Ким Илья Владиславович НФИбд-01-21</dc:creator>
  <dc:language>ru-RU</dc:language>
  <cp:keywords/>
  <dcterms:created xsi:type="dcterms:W3CDTF">2024-11-16T16:21:50Z</dcterms:created>
  <dcterms:modified xsi:type="dcterms:W3CDTF">2024-11-16T16:21:50Z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mainfont">
    <vt:lpwstr>IBM Plex Serif</vt:lpwstr>
  </property>
  <property fmtid="{D5CDD505-2E9C-101B-9397-08002B2CF9AE}" pid="16" name="mainfontoptions">
    <vt:lpwstr>Ligatures=Common,Ligatures=TeX,Scale=0.94</vt:lpwstr>
  </property>
  <property fmtid="{D5CDD505-2E9C-101B-9397-08002B2CF9AE}" pid="17" name="mathfont">
    <vt:lpwstr>STIX Two Math</vt:lpwstr>
  </property>
  <property fmtid="{D5CDD505-2E9C-101B-9397-08002B2CF9AE}" pid="18" name="mathfontoptions">
    <vt:lpwstr/>
  </property>
  <property fmtid="{D5CDD505-2E9C-101B-9397-08002B2CF9AE}" pid="19" name="monofont">
    <vt:lpwstr>IBM Plex Mono</vt:lpwstr>
  </property>
  <property fmtid="{D5CDD505-2E9C-101B-9397-08002B2CF9AE}" pid="20" name="monofontoptions">
    <vt:lpwstr>Scale=MatchLowercase,Scale=0.94,FakeStretch=0.9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IBM Plex Serif</vt:lpwstr>
  </property>
  <property fmtid="{D5CDD505-2E9C-101B-9397-08002B2CF9AE}" pid="25" name="romanfontoptions">
    <vt:lpwstr>Ligatures=Common,Ligatures=TeX,Scale=0.94</vt:lpwstr>
  </property>
  <property fmtid="{D5CDD505-2E9C-101B-9397-08002B2CF9AE}" pid="26" name="sansfont">
    <vt:lpwstr>IBM Plex Sans</vt:lpwstr>
  </property>
  <property fmtid="{D5CDD505-2E9C-101B-9397-08002B2CF9AE}" pid="27" name="sansfontoptions">
    <vt:lpwstr>Ligatures=Common,Ligatures=TeX,Scale=MatchLowercase,Scale=0.94</vt:lpwstr>
  </property>
  <property fmtid="{D5CDD505-2E9C-101B-9397-08002B2CF9AE}" pid="28" name="subtitle">
    <vt:lpwstr>Julia. Установка и настройка. Основные принципы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