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Predicting School Dropout in Ghanaian Basic Schools</w:t>
      </w:r>
    </w:p>
    <w:p>
      <w:pPr>
        <w:spacing w:after="60"/>
        <w:jc w:val="center"/>
      </w:pPr>
      <w:r>
        <w:rPr>
          <w:b/>
          <w:bCs/>
          <w:sz w:val="26"/>
          <w:szCs w:val="26"/>
        </w:rPr>
        <w:t xml:space="preserve">METHOD  (Revision R02)</w:t>
      </w:r>
    </w:p>
    <w:p>
      <w:pPr>
        <w:spacing w:after="240"/>
        <w:jc w:val="center"/>
      </w:pPr>
      <w:r>
        <w:rPr>
          <w:i/>
          <w:iCs/>
          <w:sz w:val="20"/>
          <w:szCs w:val="20"/>
        </w:rPr>
        <w:t xml:space="preserve">Group 5  ·  Department of Computer Science, KNUST  ·  Supervisor: Dr. Eric Opoku Osei</w:t>
      </w:r>
    </w:p>
    <w:p>
      <w:pPr>
        <w:spacing w:after="160"/>
      </w:pPr>
      <w:r>
        <w:rPr>
          <w:i/>
          <w:iCs/>
          <w:sz w:val="18"/>
          <w:szCs w:val="18"/>
        </w:rPr>
        <w:t xml:space="preserve">All figures in this section are generated by run 20260922T232734Z_records, committed under results/notebook08_final/. Every table cites the file that produced it.</w:t>
      </w:r>
    </w:p>
    <w:p>
      <w:pPr>
        <w:pStyle w:val="Heading1"/>
        <w:spacing w:after="160" w:before="280"/>
      </w:pPr>
      <w:r>
        <w:t xml:space="preserve">M1  Research design and its justification</w:t>
      </w:r>
    </w:p>
    <w:p>
      <w:pPr>
        <w:spacing w:after="140"/>
      </w:pPr>
      <w:r>
        <w:rPr>
          <w:sz w:val="22"/>
          <w:szCs w:val="22"/>
        </w:rPr>
        <w:t xml:space="preserve">This study uses a single-site observational dataset with a frozen hold-out partition and repeated stratified cross-validation within the training partition. The testbed exists to support one decision: whether substituting the training objective of a gradient-boosting classifier changes minority-class ranking, holding the feature matrix, the hyperparameter configuration and the class-weighting mechanism fixed.</w:t>
      </w:r>
    </w:p>
    <w:p>
      <w:pPr>
        <w:spacing w:after="140"/>
      </w:pPr>
      <w:r>
        <w:rPr>
          <w:sz w:val="22"/>
          <w:szCs w:val="22"/>
        </w:rPr>
        <w:t xml:space="preserve">Three alternative designs were considered and rejected, and the reasons are stated here rather than left implicit.</w:t>
      </w:r>
    </w:p>
    <w:p>
      <w:pPr>
        <w:spacing w:after="140"/>
      </w:pPr>
      <w:r>
        <w:rPr>
          <w:sz w:val="22"/>
          <w:szCs w:val="22"/>
        </w:rPr>
        <w:t xml:space="preserve">A school-grouped cross-validation was rejected as the primary design because the sample contains only four school clusters, one of which supplies 49.0% of the records. Four clusters cannot support a grouped estimate. A leave-one-school-out analysis is nonetheless reported as a bounded secondary check (R11), and its limitations are stated there.</w:t>
      </w:r>
    </w:p>
    <w:p>
      <w:pPr>
        <w:spacing w:after="140"/>
      </w:pPr>
      <w:r>
        <w:rPr>
          <w:sz w:val="22"/>
          <w:szCs w:val="22"/>
        </w:rPr>
        <w:t xml:space="preserve">Nested cross-validation with an outer test fold was rejected because the research question fixes the hyperparameter configuration by design, so there is no inner selection loop for an outer fold to protect against. A single frozen hold-out combined with repeated cross-validation inside the training partition achieves the same isolation at this sample size.</w:t>
      </w:r>
    </w:p>
    <w:p>
      <w:pPr>
        <w:spacing w:after="140"/>
      </w:pPr>
      <w:r>
        <w:rPr>
          <w:sz w:val="22"/>
          <w:szCs w:val="22"/>
        </w:rPr>
        <w:t xml:space="preserve">A temporal hold-out was unavailable. All records describe a single academic year (2024/25) and were collected within one field visit during the third term.</w:t>
      </w:r>
    </w:p>
    <w:p>
      <w:pPr>
        <w:pStyle w:val="Heading1"/>
        <w:spacing w:after="160" w:before="280"/>
      </w:pPr>
      <w:r>
        <w:t xml:space="preserve">M2  Setting and unit of analysis</w:t>
      </w:r>
    </w:p>
    <w:p>
      <w:pPr>
        <w:spacing w:after="140"/>
      </w:pPr>
      <w:r>
        <w:rPr>
          <w:sz w:val="22"/>
          <w:szCs w:val="22"/>
        </w:rPr>
        <w:t xml:space="preserve">The unit of analysis is the individual pupil. Records describe pupils in Primary 4 through Junior High School Form 2 at four basic schools in the Kumasi Metropolitan area, Ashanti Region, Ghana, during the 2024/25 academic year.</w:t>
      </w:r>
    </w:p>
    <w:p>
      <w:pPr>
        <w:spacing w:after="80" w:before="160"/>
      </w:pPr>
      <w:r>
        <w:rPr>
          <w:b/>
          <w:bCs/>
          <w:sz w:val="20"/>
          <w:szCs w:val="20"/>
        </w:rPr>
        <w:t xml:space="preserve">Table M1. School composition of the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98"/>
        <w:gridCol w:w="1872"/>
        <w:gridCol w:w="1966"/>
        <w:gridCol w:w="1966"/>
      </w:tblGrid>
      <w:tr>
        <w:trPr>
          <w:tblHeader/>
        </w:trPr>
        <w:tc>
          <w:tcPr>
            <w:tcW w:type="dxa" w:w="2059"/>
            <w:shd w:fill="E8EDF2" w:val="clear"/>
            <w:tcMar>
              <w:top w:type="dxa" w:w="60"/>
              <w:left w:type="dxa" w:w="90"/>
              <w:bottom w:type="dxa" w:w="60"/>
              <w:right w:type="dxa" w:w="90"/>
            </w:tcMar>
          </w:tcPr>
          <w:p>
            <w:r>
              <w:rPr>
                <w:b/>
                <w:bCs/>
                <w:sz w:val="18"/>
                <w:szCs w:val="18"/>
              </w:rPr>
              <w:t xml:space="preserve">School code</w:t>
            </w:r>
          </w:p>
        </w:tc>
        <w:tc>
          <w:tcPr>
            <w:tcW w:type="dxa" w:w="1498"/>
            <w:shd w:fill="E8EDF2" w:val="clear"/>
            <w:tcMar>
              <w:top w:type="dxa" w:w="60"/>
              <w:left w:type="dxa" w:w="90"/>
              <w:bottom w:type="dxa" w:w="60"/>
              <w:right w:type="dxa" w:w="90"/>
            </w:tcMar>
          </w:tcPr>
          <w:p>
            <w:r>
              <w:rPr>
                <w:b/>
                <w:bCs/>
                <w:sz w:val="18"/>
                <w:szCs w:val="18"/>
              </w:rPr>
              <w:t xml:space="preserve">Pupils</w:t>
            </w:r>
          </w:p>
        </w:tc>
        <w:tc>
          <w:tcPr>
            <w:tcW w:type="dxa" w:w="1872"/>
            <w:shd w:fill="E8EDF2" w:val="clear"/>
            <w:tcMar>
              <w:top w:type="dxa" w:w="60"/>
              <w:left w:type="dxa" w:w="90"/>
              <w:bottom w:type="dxa" w:w="60"/>
              <w:right w:type="dxa" w:w="90"/>
            </w:tcMar>
          </w:tcPr>
          <w:p>
            <w:r>
              <w:rPr>
                <w:b/>
                <w:bCs/>
                <w:sz w:val="18"/>
                <w:szCs w:val="18"/>
              </w:rPr>
              <w:t xml:space="preserve">Dropout cases</w:t>
            </w:r>
          </w:p>
        </w:tc>
        <w:tc>
          <w:tcPr>
            <w:tcW w:type="dxa" w:w="1966"/>
            <w:shd w:fill="E8EDF2" w:val="clear"/>
            <w:tcMar>
              <w:top w:type="dxa" w:w="60"/>
              <w:left w:type="dxa" w:w="90"/>
              <w:bottom w:type="dxa" w:w="60"/>
              <w:right w:type="dxa" w:w="90"/>
            </w:tcMar>
          </w:tcPr>
          <w:p>
            <w:r>
              <w:rPr>
                <w:b/>
                <w:bCs/>
                <w:sz w:val="18"/>
                <w:szCs w:val="18"/>
              </w:rPr>
              <w:t xml:space="preserve">Dropout rate (%)</w:t>
            </w:r>
          </w:p>
        </w:tc>
        <w:tc>
          <w:tcPr>
            <w:tcW w:type="dxa" w:w="1966"/>
            <w:shd w:fill="E8EDF2" w:val="clear"/>
            <w:tcMar>
              <w:top w:type="dxa" w:w="60"/>
              <w:left w:type="dxa" w:w="90"/>
              <w:bottom w:type="dxa" w:w="60"/>
              <w:right w:type="dxa" w:w="90"/>
            </w:tcMar>
          </w:tcPr>
          <w:p>
            <w:r>
              <w:rPr>
                <w:b/>
                <w:bCs/>
                <w:sz w:val="18"/>
                <w:szCs w:val="18"/>
              </w:rPr>
              <w:t xml:space="preserve">Share of sample (%)</w:t>
            </w:r>
          </w:p>
        </w:tc>
      </w:tr>
      <w:tr>
        <w:tc>
          <w:tcPr>
            <w:tcW w:type="dxa" w:w="2059"/>
            <w:tcMar>
              <w:top w:type="dxa" w:w="60"/>
              <w:left w:type="dxa" w:w="90"/>
              <w:bottom w:type="dxa" w:w="60"/>
              <w:right w:type="dxa" w:w="90"/>
            </w:tcMar>
          </w:tcPr>
          <w:p>
            <w:r>
              <w:rPr>
                <w:b w:val="false"/>
                <w:bCs w:val="false"/>
                <w:sz w:val="18"/>
                <w:szCs w:val="18"/>
              </w:rPr>
              <w:t xml:space="preserve">WEWE</w:t>
            </w:r>
          </w:p>
        </w:tc>
        <w:tc>
          <w:tcPr>
            <w:tcW w:type="dxa" w:w="1498"/>
            <w:tcMar>
              <w:top w:type="dxa" w:w="60"/>
              <w:left w:type="dxa" w:w="90"/>
              <w:bottom w:type="dxa" w:w="60"/>
              <w:right w:type="dxa" w:w="90"/>
            </w:tcMar>
          </w:tcPr>
          <w:p>
            <w:r>
              <w:rPr>
                <w:b w:val="false"/>
                <w:bCs w:val="false"/>
                <w:sz w:val="18"/>
                <w:szCs w:val="18"/>
              </w:rPr>
              <w:t xml:space="preserve">481</w:t>
            </w:r>
          </w:p>
        </w:tc>
        <w:tc>
          <w:tcPr>
            <w:tcW w:type="dxa" w:w="1872"/>
            <w:tcMar>
              <w:top w:type="dxa" w:w="60"/>
              <w:left w:type="dxa" w:w="90"/>
              <w:bottom w:type="dxa" w:w="60"/>
              <w:right w:type="dxa" w:w="90"/>
            </w:tcMar>
          </w:tcPr>
          <w:p>
            <w:r>
              <w:rPr>
                <w:b w:val="false"/>
                <w:bCs w:val="false"/>
                <w:sz w:val="18"/>
                <w:szCs w:val="18"/>
              </w:rPr>
              <w:t xml:space="preserve">50</w:t>
            </w:r>
          </w:p>
        </w:tc>
        <w:tc>
          <w:tcPr>
            <w:tcW w:type="dxa" w:w="1966"/>
            <w:tcMar>
              <w:top w:type="dxa" w:w="60"/>
              <w:left w:type="dxa" w:w="90"/>
              <w:bottom w:type="dxa" w:w="60"/>
              <w:right w:type="dxa" w:w="90"/>
            </w:tcMar>
          </w:tcPr>
          <w:p>
            <w:r>
              <w:rPr>
                <w:b w:val="false"/>
                <w:bCs w:val="false"/>
                <w:sz w:val="18"/>
                <w:szCs w:val="18"/>
              </w:rPr>
              <w:t xml:space="preserve">10.4</w:t>
            </w:r>
          </w:p>
        </w:tc>
        <w:tc>
          <w:tcPr>
            <w:tcW w:type="dxa" w:w="1966"/>
            <w:tcMar>
              <w:top w:type="dxa" w:w="60"/>
              <w:left w:type="dxa" w:w="90"/>
              <w:bottom w:type="dxa" w:w="60"/>
              <w:right w:type="dxa" w:w="90"/>
            </w:tcMar>
          </w:tcPr>
          <w:p>
            <w:r>
              <w:rPr>
                <w:b w:val="false"/>
                <w:bCs w:val="false"/>
                <w:sz w:val="18"/>
                <w:szCs w:val="18"/>
              </w:rPr>
              <w:t xml:space="preserve">49.0</w:t>
            </w:r>
          </w:p>
        </w:tc>
      </w:tr>
      <w:tr>
        <w:tc>
          <w:tcPr>
            <w:tcW w:type="dxa" w:w="2059"/>
            <w:tcMar>
              <w:top w:type="dxa" w:w="60"/>
              <w:left w:type="dxa" w:w="90"/>
              <w:bottom w:type="dxa" w:w="60"/>
              <w:right w:type="dxa" w:w="90"/>
            </w:tcMar>
          </w:tcPr>
          <w:p>
            <w:r>
              <w:rPr>
                <w:b w:val="false"/>
                <w:bCs w:val="false"/>
                <w:sz w:val="18"/>
                <w:szCs w:val="18"/>
              </w:rPr>
              <w:t xml:space="preserve">KNU_JHS</w:t>
            </w:r>
          </w:p>
        </w:tc>
        <w:tc>
          <w:tcPr>
            <w:tcW w:type="dxa" w:w="1498"/>
            <w:tcMar>
              <w:top w:type="dxa" w:w="60"/>
              <w:left w:type="dxa" w:w="90"/>
              <w:bottom w:type="dxa" w:w="60"/>
              <w:right w:type="dxa" w:w="90"/>
            </w:tcMar>
          </w:tcPr>
          <w:p>
            <w:r>
              <w:rPr>
                <w:b w:val="false"/>
                <w:bCs w:val="false"/>
                <w:sz w:val="18"/>
                <w:szCs w:val="18"/>
              </w:rPr>
              <w:t xml:space="preserve">329</w:t>
            </w:r>
          </w:p>
        </w:tc>
        <w:tc>
          <w:tcPr>
            <w:tcW w:type="dxa" w:w="1872"/>
            <w:tcMar>
              <w:top w:type="dxa" w:w="60"/>
              <w:left w:type="dxa" w:w="90"/>
              <w:bottom w:type="dxa" w:w="60"/>
              <w:right w:type="dxa" w:w="90"/>
            </w:tcMar>
          </w:tcPr>
          <w:p>
            <w:r>
              <w:rPr>
                <w:b w:val="false"/>
                <w:bCs w:val="false"/>
                <w:sz w:val="18"/>
                <w:szCs w:val="18"/>
              </w:rPr>
              <w:t xml:space="preserve">11</w:t>
            </w:r>
          </w:p>
        </w:tc>
        <w:tc>
          <w:tcPr>
            <w:tcW w:type="dxa" w:w="1966"/>
            <w:tcMar>
              <w:top w:type="dxa" w:w="60"/>
              <w:left w:type="dxa" w:w="90"/>
              <w:bottom w:type="dxa" w:w="60"/>
              <w:right w:type="dxa" w:w="90"/>
            </w:tcMar>
          </w:tcPr>
          <w:p>
            <w:r>
              <w:rPr>
                <w:b w:val="false"/>
                <w:bCs w:val="false"/>
                <w:sz w:val="18"/>
                <w:szCs w:val="18"/>
              </w:rPr>
              <w:t xml:space="preserve">3.3</w:t>
            </w:r>
          </w:p>
        </w:tc>
        <w:tc>
          <w:tcPr>
            <w:tcW w:type="dxa" w:w="1966"/>
            <w:tcMar>
              <w:top w:type="dxa" w:w="60"/>
              <w:left w:type="dxa" w:w="90"/>
              <w:bottom w:type="dxa" w:w="60"/>
              <w:right w:type="dxa" w:w="90"/>
            </w:tcMar>
          </w:tcPr>
          <w:p>
            <w:r>
              <w:rPr>
                <w:b w:val="false"/>
                <w:bCs w:val="false"/>
                <w:sz w:val="18"/>
                <w:szCs w:val="18"/>
              </w:rPr>
              <w:t xml:space="preserve">33.5</w:t>
            </w:r>
          </w:p>
        </w:tc>
      </w:tr>
      <w:tr>
        <w:tc>
          <w:tcPr>
            <w:tcW w:type="dxa" w:w="2059"/>
            <w:tcMar>
              <w:top w:type="dxa" w:w="60"/>
              <w:left w:type="dxa" w:w="90"/>
              <w:bottom w:type="dxa" w:w="60"/>
              <w:right w:type="dxa" w:w="90"/>
            </w:tcMar>
          </w:tcPr>
          <w:p>
            <w:r>
              <w:rPr>
                <w:b w:val="false"/>
                <w:bCs w:val="false"/>
                <w:sz w:val="18"/>
                <w:szCs w:val="18"/>
              </w:rPr>
              <w:t xml:space="preserve">SHI</w:t>
            </w:r>
          </w:p>
        </w:tc>
        <w:tc>
          <w:tcPr>
            <w:tcW w:type="dxa" w:w="1498"/>
            <w:tcMar>
              <w:top w:type="dxa" w:w="60"/>
              <w:left w:type="dxa" w:w="90"/>
              <w:bottom w:type="dxa" w:w="60"/>
              <w:right w:type="dxa" w:w="90"/>
            </w:tcMar>
          </w:tcPr>
          <w:p>
            <w:r>
              <w:rPr>
                <w:b w:val="false"/>
                <w:bCs w:val="false"/>
                <w:sz w:val="18"/>
                <w:szCs w:val="18"/>
              </w:rPr>
              <w:t xml:space="preserve">92</w:t>
            </w:r>
          </w:p>
        </w:tc>
        <w:tc>
          <w:tcPr>
            <w:tcW w:type="dxa" w:w="1872"/>
            <w:tcMar>
              <w:top w:type="dxa" w:w="60"/>
              <w:left w:type="dxa" w:w="90"/>
              <w:bottom w:type="dxa" w:w="60"/>
              <w:right w:type="dxa" w:w="90"/>
            </w:tcMar>
          </w:tcPr>
          <w:p>
            <w:r>
              <w:rPr>
                <w:b w:val="false"/>
                <w:bCs w:val="false"/>
                <w:sz w:val="18"/>
                <w:szCs w:val="18"/>
              </w:rPr>
              <w:t xml:space="preserve">19</w:t>
            </w:r>
          </w:p>
        </w:tc>
        <w:tc>
          <w:tcPr>
            <w:tcW w:type="dxa" w:w="1966"/>
            <w:tcMar>
              <w:top w:type="dxa" w:w="60"/>
              <w:left w:type="dxa" w:w="90"/>
              <w:bottom w:type="dxa" w:w="60"/>
              <w:right w:type="dxa" w:w="90"/>
            </w:tcMar>
          </w:tcPr>
          <w:p>
            <w:r>
              <w:rPr>
                <w:b w:val="false"/>
                <w:bCs w:val="false"/>
                <w:sz w:val="18"/>
                <w:szCs w:val="18"/>
              </w:rPr>
              <w:t xml:space="preserve">20.7</w:t>
            </w:r>
          </w:p>
        </w:tc>
        <w:tc>
          <w:tcPr>
            <w:tcW w:type="dxa" w:w="1966"/>
            <w:tcMar>
              <w:top w:type="dxa" w:w="60"/>
              <w:left w:type="dxa" w:w="90"/>
              <w:bottom w:type="dxa" w:w="60"/>
              <w:right w:type="dxa" w:w="90"/>
            </w:tcMar>
          </w:tcPr>
          <w:p>
            <w:r>
              <w:rPr>
                <w:b w:val="false"/>
                <w:bCs w:val="false"/>
                <w:sz w:val="18"/>
                <w:szCs w:val="18"/>
              </w:rPr>
              <w:t xml:space="preserve">9.4</w:t>
            </w:r>
          </w:p>
        </w:tc>
      </w:tr>
      <w:tr>
        <w:tc>
          <w:tcPr>
            <w:tcW w:type="dxa" w:w="2059"/>
            <w:tcMar>
              <w:top w:type="dxa" w:w="60"/>
              <w:left w:type="dxa" w:w="90"/>
              <w:bottom w:type="dxa" w:w="60"/>
              <w:right w:type="dxa" w:w="90"/>
            </w:tcMar>
          </w:tcPr>
          <w:p>
            <w:r>
              <w:rPr>
                <w:b w:val="false"/>
                <w:bCs w:val="false"/>
                <w:sz w:val="18"/>
                <w:szCs w:val="18"/>
              </w:rPr>
              <w:t xml:space="preserve">AYED_RC</w:t>
            </w:r>
          </w:p>
        </w:tc>
        <w:tc>
          <w:tcPr>
            <w:tcW w:type="dxa" w:w="1498"/>
            <w:tcMar>
              <w:top w:type="dxa" w:w="60"/>
              <w:left w:type="dxa" w:w="90"/>
              <w:bottom w:type="dxa" w:w="60"/>
              <w:right w:type="dxa" w:w="90"/>
            </w:tcMar>
          </w:tcPr>
          <w:p>
            <w:r>
              <w:rPr>
                <w:b w:val="false"/>
                <w:bCs w:val="false"/>
                <w:sz w:val="18"/>
                <w:szCs w:val="18"/>
              </w:rPr>
              <w:t xml:space="preserve">79</w:t>
            </w:r>
          </w:p>
        </w:tc>
        <w:tc>
          <w:tcPr>
            <w:tcW w:type="dxa" w:w="1872"/>
            <w:tcMar>
              <w:top w:type="dxa" w:w="60"/>
              <w:left w:type="dxa" w:w="90"/>
              <w:bottom w:type="dxa" w:w="60"/>
              <w:right w:type="dxa" w:w="90"/>
            </w:tcMar>
          </w:tcPr>
          <w:p>
            <w:r>
              <w:rPr>
                <w:b w:val="false"/>
                <w:bCs w:val="false"/>
                <w:sz w:val="18"/>
                <w:szCs w:val="18"/>
              </w:rPr>
              <w:t xml:space="preserve">6</w:t>
            </w:r>
          </w:p>
        </w:tc>
        <w:tc>
          <w:tcPr>
            <w:tcW w:type="dxa" w:w="1966"/>
            <w:tcMar>
              <w:top w:type="dxa" w:w="60"/>
              <w:left w:type="dxa" w:w="90"/>
              <w:bottom w:type="dxa" w:w="60"/>
              <w:right w:type="dxa" w:w="90"/>
            </w:tcMar>
          </w:tcPr>
          <w:p>
            <w:r>
              <w:rPr>
                <w:b w:val="false"/>
                <w:bCs w:val="false"/>
                <w:sz w:val="18"/>
                <w:szCs w:val="18"/>
              </w:rPr>
              <w:t xml:space="preserve">7.6</w:t>
            </w:r>
          </w:p>
        </w:tc>
        <w:tc>
          <w:tcPr>
            <w:tcW w:type="dxa" w:w="1966"/>
            <w:tcMar>
              <w:top w:type="dxa" w:w="60"/>
              <w:left w:type="dxa" w:w="90"/>
              <w:bottom w:type="dxa" w:w="60"/>
              <w:right w:type="dxa" w:w="90"/>
            </w:tcMar>
          </w:tcPr>
          <w:p>
            <w:r>
              <w:rPr>
                <w:b w:val="false"/>
                <w:bCs w:val="false"/>
                <w:sz w:val="18"/>
                <w:szCs w:val="18"/>
              </w:rPr>
              <w:t xml:space="preserve">8.1</w:t>
            </w:r>
          </w:p>
        </w:tc>
      </w:tr>
      <w:tr>
        <w:tc>
          <w:tcPr>
            <w:tcW w:type="dxa" w:w="2059"/>
            <w:tcMar>
              <w:top w:type="dxa" w:w="60"/>
              <w:left w:type="dxa" w:w="90"/>
              <w:bottom w:type="dxa" w:w="60"/>
              <w:right w:type="dxa" w:w="90"/>
            </w:tcMar>
          </w:tcPr>
          <w:p>
            <w:r>
              <w:rPr>
                <w:b w:val="false"/>
                <w:bCs w:val="false"/>
                <w:sz w:val="18"/>
                <w:szCs w:val="18"/>
              </w:rPr>
              <w:t xml:space="preserve">Total</w:t>
            </w:r>
          </w:p>
        </w:tc>
        <w:tc>
          <w:tcPr>
            <w:tcW w:type="dxa" w:w="1498"/>
            <w:tcMar>
              <w:top w:type="dxa" w:w="60"/>
              <w:left w:type="dxa" w:w="90"/>
              <w:bottom w:type="dxa" w:w="60"/>
              <w:right w:type="dxa" w:w="90"/>
            </w:tcMar>
          </w:tcPr>
          <w:p>
            <w:r>
              <w:rPr>
                <w:b w:val="false"/>
                <w:bCs w:val="false"/>
                <w:sz w:val="18"/>
                <w:szCs w:val="18"/>
              </w:rPr>
              <w:t xml:space="preserve">981</w:t>
            </w:r>
          </w:p>
        </w:tc>
        <w:tc>
          <w:tcPr>
            <w:tcW w:type="dxa" w:w="1872"/>
            <w:tcMar>
              <w:top w:type="dxa" w:w="60"/>
              <w:left w:type="dxa" w:w="90"/>
              <w:bottom w:type="dxa" w:w="60"/>
              <w:right w:type="dxa" w:w="90"/>
            </w:tcMar>
          </w:tcPr>
          <w:p>
            <w:r>
              <w:rPr>
                <w:b w:val="false"/>
                <w:bCs w:val="false"/>
                <w:sz w:val="18"/>
                <w:szCs w:val="18"/>
              </w:rPr>
              <w:t xml:space="preserve">86</w:t>
            </w:r>
          </w:p>
        </w:tc>
        <w:tc>
          <w:tcPr>
            <w:tcW w:type="dxa" w:w="1966"/>
            <w:tcMar>
              <w:top w:type="dxa" w:w="60"/>
              <w:left w:type="dxa" w:w="90"/>
              <w:bottom w:type="dxa" w:w="60"/>
              <w:right w:type="dxa" w:w="90"/>
            </w:tcMar>
          </w:tcPr>
          <w:p>
            <w:r>
              <w:rPr>
                <w:b w:val="false"/>
                <w:bCs w:val="false"/>
                <w:sz w:val="18"/>
                <w:szCs w:val="18"/>
              </w:rPr>
              <w:t xml:space="preserve">8.8</w:t>
            </w:r>
          </w:p>
        </w:tc>
        <w:tc>
          <w:tcPr>
            <w:tcW w:type="dxa" w:w="1966"/>
            <w:tcMar>
              <w:top w:type="dxa" w:w="60"/>
              <w:left w:type="dxa" w:w="90"/>
              <w:bottom w:type="dxa" w:w="60"/>
              <w:right w:type="dxa" w:w="90"/>
            </w:tcMar>
          </w:tcPr>
          <w:p>
            <w:r>
              <w:rPr>
                <w:b w:val="false"/>
                <w:bCs w:val="false"/>
                <w:sz w:val="18"/>
                <w:szCs w:val="18"/>
              </w:rPr>
              <w:t xml:space="preserve">100.0</w:t>
            </w:r>
          </w:p>
        </w:tc>
      </w:tr>
    </w:tbl>
    <w:p>
      <w:pPr>
        <w:spacing w:after="160"/>
      </w:pPr>
      <w:r>
        <w:rPr>
          <w:i/>
          <w:iCs/>
          <w:sz w:val="18"/>
          <w:szCs w:val="18"/>
        </w:rPr>
        <w:t xml:space="preserve">Source: results/notebook01_cleaning/…/school_cluster_audit.csv</w:t>
      </w:r>
    </w:p>
    <w:p>
      <w:pPr>
        <w:spacing w:after="140"/>
      </w:pPr>
      <w:r>
        <w:rPr>
          <w:sz w:val="22"/>
          <w:szCs w:val="22"/>
        </w:rPr>
        <w:t xml:space="preserve">The four schools contribute unevenly and their dropout rates span a factor of six. Both facts constrain the inference boundary stated in M18 and are revisited in the limitations.</w:t>
      </w:r>
    </w:p>
    <w:p>
      <w:pPr>
        <w:pStyle w:val="Heading1"/>
        <w:spacing w:after="160" w:before="280"/>
      </w:pPr>
      <w:r>
        <w:t xml:space="preserve">M3  Sample construction</w:t>
      </w:r>
    </w:p>
    <w:p>
      <w:pPr>
        <w:spacing w:after="140"/>
      </w:pPr>
      <w:r>
        <w:rPr>
          <w:sz w:val="22"/>
          <w:szCs w:val="22"/>
        </w:rPr>
        <w:t xml:space="preserve">The raw workbook contains 1,000 rows and 48 columns. Nineteen rows are exact duplicates of another row in every column, including the study identifier, and therefore represent the same pupil entered twice rather than two pupils with identical values. These were removed, giving an analytic sample of 981 pupils.</w:t>
      </w:r>
    </w:p>
    <w:p>
      <w:pPr>
        <w:spacing w:after="140"/>
      </w:pPr>
      <w:r>
        <w:rPr>
          <w:sz w:val="22"/>
          <w:szCs w:val="22"/>
        </w:rPr>
        <w:t xml:space="preserve">The outcome variable is a binary indicator of dropout during the 2024/25 academic year, recorded by the school. The analytic sample contains 86 dropout cases, a base rate of 8.8%. This figure supersedes the 1,000 pupils and 92 dropout cases reported in the previous revision, which counted the duplicated records.</w:t>
      </w:r>
    </w:p>
    <w:p>
      <w:pPr>
        <w:spacing w:after="140"/>
      </w:pPr>
      <w:r>
        <w:rPr>
          <w:sz w:val="22"/>
          <w:szCs w:val="22"/>
        </w:rPr>
        <w:t xml:space="preserve">The duplication also had a consequence for the earlier analysis. Re-creating the previously used 80/20 stratified split on the un-deduplicated data places seven duplicated pupils on both sides of the partition, so the earlier model was evaluated on pupils whose identical records were also in its training data.</w:t>
      </w:r>
    </w:p>
    <w:p>
      <w:pPr>
        <w:pStyle w:val="Heading1"/>
        <w:spacing w:after="160" w:before="280"/>
      </w:pPr>
      <w:r>
        <w:t xml:space="preserve">M4  Data sources and differential measurement</w:t>
      </w:r>
    </w:p>
    <w:p>
      <w:pPr>
        <w:spacing w:after="140"/>
      </w:pPr>
      <w:r>
        <w:rPr>
          <w:sz w:val="22"/>
          <w:szCs w:val="22"/>
        </w:rPr>
        <w:t xml:space="preserve">Data come from two sources, and the source differs systematically between the two outcome groups. This is the most consequential measurement feature of the study and it determines the primary feature set.</w:t>
      </w:r>
    </w:p>
    <w:p>
      <w:pPr>
        <w:spacing w:after="140"/>
      </w:pPr>
      <w:r>
        <w:rPr>
          <w:sz w:val="22"/>
          <w:szCs w:val="22"/>
        </w:rPr>
        <w:t xml:space="preserve">School records — attendance registers, end-of-term examination results, grade repetition, class level and basic demographics — were supplied by the headteacher for every pupil in the same form, irrespective of outcome.</w:t>
      </w:r>
    </w:p>
    <w:p>
      <w:pPr>
        <w:spacing w:after="140"/>
      </w:pPr>
      <w:r>
        <w:rPr>
          <w:sz w:val="22"/>
          <w:szCs w:val="22"/>
        </w:rPr>
        <w:t xml:space="preserve">Questionnaire items — household economic circumstances, parental characteristics, travel, perceived safety, teacher support, school enjoyment, classroom participation, extracurricular involvement and behavioural records — were completed by pupils themselves where the pupil was still enrolled. Pupils who had dropped out were not present to complete the instrument, so these items were answered on their behalf by classmates who had previously travelled to school with them.</w:t>
      </w:r>
    </w:p>
    <w:p>
      <w:pPr>
        <w:spacing w:after="140"/>
      </w:pPr>
      <w:r>
        <w:rPr>
          <w:sz w:val="22"/>
          <w:szCs w:val="22"/>
        </w:rPr>
        <w:t xml:space="preserve">The informant for a dropout therefore knew the outcome, while the informant for a retained pupil was the pupil. Measurement conditions were not independent of the outcome. Two patterns in the data are consistent with this. Recorded family income of "Low" carries a dropout rate of 59.2% against 2.2% for "Medium" and 0.5% for "High"; and no dropout record contains a "Don't know" response, while all 30 such responses belong to retained pupils — a proxy informant supplies an answer where a pupil would record uncertainty.</w:t>
      </w:r>
    </w:p>
    <w:p>
      <w:pPr>
        <w:spacing w:after="140"/>
      </w:pPr>
      <w:r>
        <w:rPr>
          <w:sz w:val="22"/>
          <w:szCs w:val="22"/>
        </w:rPr>
        <w:t xml:space="preserve">Accordingly the primary analysis uses school-record variables only. Questionnaire items are analysed separately (R12), and the difference between the two feature sets is reported as an estimate of how far differential measurement inflates apparent performance.</w:t>
      </w:r>
    </w:p>
    <w:p>
      <w:pPr>
        <w:spacing w:after="80" w:before="160"/>
      </w:pPr>
      <w:r>
        <w:rPr>
          <w:b/>
          <w:bCs/>
          <w:sz w:val="20"/>
          <w:szCs w:val="20"/>
        </w:rPr>
        <w:t xml:space="preserve">Table M2. Variable classification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W w:type="dxa" w:w="2246"/>
            <w:shd w:fill="E8EDF2" w:val="clear"/>
            <w:tcMar>
              <w:top w:type="dxa" w:w="60"/>
              <w:left w:type="dxa" w:w="90"/>
              <w:bottom w:type="dxa" w:w="60"/>
              <w:right w:type="dxa" w:w="90"/>
            </w:tcMar>
          </w:tcPr>
          <w:p>
            <w:r>
              <w:rPr>
                <w:b/>
                <w:bCs/>
                <w:sz w:val="18"/>
                <w:szCs w:val="18"/>
              </w:rPr>
              <w:t xml:space="preserve">Source</w:t>
            </w:r>
          </w:p>
        </w:tc>
        <w:tc>
          <w:tcPr>
            <w:tcW w:type="dxa" w:w="749"/>
            <w:shd w:fill="E8EDF2" w:val="clear"/>
            <w:tcMar>
              <w:top w:type="dxa" w:w="60"/>
              <w:left w:type="dxa" w:w="90"/>
              <w:bottom w:type="dxa" w:w="60"/>
              <w:right w:type="dxa" w:w="90"/>
            </w:tcMar>
          </w:tcPr>
          <w:p>
            <w:r>
              <w:rPr>
                <w:b/>
                <w:bCs/>
                <w:sz w:val="18"/>
                <w:szCs w:val="18"/>
              </w:rPr>
              <w:t xml:space="preserve">Count</w:t>
            </w:r>
          </w:p>
        </w:tc>
        <w:tc>
          <w:tcPr>
            <w:tcW w:type="dxa" w:w="6365"/>
            <w:shd w:fill="E8EDF2" w:val="clear"/>
            <w:tcMar>
              <w:top w:type="dxa" w:w="60"/>
              <w:left w:type="dxa" w:w="90"/>
              <w:bottom w:type="dxa" w:w="60"/>
              <w:right w:type="dxa" w:w="90"/>
            </w:tcMar>
          </w:tcPr>
          <w:p>
            <w:r>
              <w:rPr>
                <w:b/>
                <w:bCs/>
                <w:sz w:val="18"/>
                <w:szCs w:val="18"/>
              </w:rPr>
              <w:t xml:space="preserve">Variables</w:t>
            </w:r>
          </w:p>
        </w:tc>
      </w:tr>
      <w:tr>
        <w:tc>
          <w:tcPr>
            <w:tcW w:type="dxa" w:w="2246"/>
            <w:tcMar>
              <w:top w:type="dxa" w:w="60"/>
              <w:left w:type="dxa" w:w="90"/>
              <w:bottom w:type="dxa" w:w="60"/>
              <w:right w:type="dxa" w:w="90"/>
            </w:tcMar>
          </w:tcPr>
          <w:p>
            <w:r>
              <w:rPr>
                <w:b w:val="false"/>
                <w:bCs w:val="false"/>
                <w:sz w:val="18"/>
                <w:szCs w:val="18"/>
              </w:rPr>
              <w:t xml:space="preserve">School records (primary analysis)</w:t>
            </w:r>
          </w:p>
        </w:tc>
        <w:tc>
          <w:tcPr>
            <w:tcW w:type="dxa" w:w="749"/>
            <w:tcMar>
              <w:top w:type="dxa" w:w="60"/>
              <w:left w:type="dxa" w:w="90"/>
              <w:bottom w:type="dxa" w:w="60"/>
              <w:right w:type="dxa" w:w="90"/>
            </w:tcMar>
          </w:tcPr>
          <w:p>
            <w:r>
              <w:rPr>
                <w:b w:val="false"/>
                <w:bCs w:val="false"/>
                <w:sz w:val="18"/>
                <w:szCs w:val="18"/>
              </w:rPr>
              <w:t xml:space="preserve">14</w:t>
            </w:r>
          </w:p>
        </w:tc>
        <w:tc>
          <w:tcPr>
            <w:tcW w:type="dxa" w:w="6365"/>
            <w:tcMar>
              <w:top w:type="dxa" w:w="60"/>
              <w:left w:type="dxa" w:w="90"/>
              <w:bottom w:type="dxa" w:w="60"/>
              <w:right w:type="dxa" w:w="90"/>
            </w:tcMar>
          </w:tcPr>
          <w:p>
            <w:r>
              <w:rPr>
                <w:b w:val="false"/>
                <w:bCs w:val="false"/>
                <w:sz w:val="18"/>
                <w:szCs w:val="18"/>
              </w:rPr>
              <w:t xml:space="preserve">term 1 and term 2 attendance; English, mathematics, science and social studies examination scores; average examination score; grade repetition count; class level; gender; age at start of academic year; school code; school type; geographic zone</w:t>
            </w:r>
          </w:p>
        </w:tc>
      </w:tr>
      <w:tr>
        <w:tc>
          <w:tcPr>
            <w:tcW w:type="dxa" w:w="2246"/>
            <w:tcMar>
              <w:top w:type="dxa" w:w="60"/>
              <w:left w:type="dxa" w:w="90"/>
              <w:bottom w:type="dxa" w:w="60"/>
              <w:right w:type="dxa" w:w="90"/>
            </w:tcMar>
          </w:tcPr>
          <w:p>
            <w:r>
              <w:rPr>
                <w:b w:val="false"/>
                <w:bCs w:val="false"/>
                <w:sz w:val="18"/>
                <w:szCs w:val="18"/>
              </w:rPr>
              <w:t xml:space="preserve">Questionnaire (secondary analysis)</w:t>
            </w:r>
          </w:p>
        </w:tc>
        <w:tc>
          <w:tcPr>
            <w:tcW w:type="dxa" w:w="749"/>
            <w:tcMar>
              <w:top w:type="dxa" w:w="60"/>
              <w:left w:type="dxa" w:w="90"/>
              <w:bottom w:type="dxa" w:w="60"/>
              <w:right w:type="dxa" w:w="90"/>
            </w:tcMar>
          </w:tcPr>
          <w:p>
            <w:r>
              <w:rPr>
                <w:b w:val="false"/>
                <w:bCs w:val="false"/>
                <w:sz w:val="18"/>
                <w:szCs w:val="18"/>
              </w:rPr>
              <w:t xml:space="preserve">23</w:t>
            </w:r>
          </w:p>
        </w:tc>
        <w:tc>
          <w:tcPr>
            <w:tcW w:type="dxa" w:w="6365"/>
            <w:tcMar>
              <w:top w:type="dxa" w:w="60"/>
              <w:left w:type="dxa" w:w="90"/>
              <w:bottom w:type="dxa" w:w="60"/>
              <w:right w:type="dxa" w:w="90"/>
            </w:tcMar>
          </w:tcPr>
          <w:p>
            <w:r>
              <w:rPr>
                <w:b w:val="false"/>
                <w:bCs w:val="false"/>
                <w:sz w:val="18"/>
                <w:szCs w:val="18"/>
              </w:rPr>
              <w:t xml:space="preserve">family income level; LEAP beneficiary status; school feeding status; government support; parental education and occupation; household electricity; textbook access; siblings in school; travel time and transport mode; daily study hours; parental attendance at school events; safety at home and at school; teacher support rating; school enjoyment; class participation; extracurricular activities; behaviour warnings; missed school for chores and for illness; barriers to attendance</w:t>
            </w:r>
          </w:p>
        </w:tc>
      </w:tr>
    </w:tbl>
    <w:p>
      <w:pPr>
        <w:pStyle w:val="Heading1"/>
        <w:spacing w:after="160" w:before="280"/>
      </w:pPr>
      <w:r>
        <w:t xml:space="preserve">M5  Ethical approval and data availability</w:t>
      </w:r>
    </w:p>
    <w:p>
      <w:pPr>
        <w:spacing w:after="140"/>
      </w:pPr>
      <w:r>
        <w:rPr>
          <w:sz w:val="22"/>
          <w:szCs w:val="22"/>
        </w:rPr>
        <w:t xml:space="preserve">Ethical approval was granted by the Committee on Humanities and Social Sciences Research and Ethics, KNUST (HuSSREC/AP/543/VOL. 5), valid 30 June 2026 to 30 June 2027. Pupil-level data are not publicly shareable and are not committed to the project repository; access may be requested from the corresponding author subject to institutional approval and a data-use agreement.</w:t>
      </w:r>
    </w:p>
    <w:p>
      <w:pPr>
        <w:spacing w:after="140"/>
      </w:pPr>
      <w:r>
        <w:rPr>
          <w:sz w:val="22"/>
          <w:szCs w:val="22"/>
        </w:rPr>
        <w:t xml:space="preserve">One aspect of the collection procedure warrants explicit note. Household and socioeconomic information concerning pupils who had left school was obtained from their classmates rather than from the pupils or their guardians. This is a disclosure about third parties by minors and is recorded here for transparency.</w:t>
      </w:r>
    </w:p>
    <w:p>
      <w:pPr>
        <w:pStyle w:val="Heading1"/>
        <w:spacing w:after="160" w:before="280"/>
      </w:pPr>
      <w:r>
        <w:t xml:space="preserve">M6  Data preparation and control of information leakage</w:t>
      </w:r>
    </w:p>
    <w:p>
      <w:pPr>
        <w:spacing w:after="140"/>
      </w:pPr>
      <w:r>
        <w:rPr>
          <w:sz w:val="22"/>
          <w:szCs w:val="22"/>
        </w:rPr>
        <w:t xml:space="preserve">Every fitted transformation — median and mode imputation, categorical encoding, min-max scaling, near-constant column detection and all composite construction — is fitted on the training fold only and applied unchanged to the held-out fold. Operations that use fixed constants rather than data statistics (name normalisation, the identifier and leakage removal rules, the spelling canonicalisation dictionary, the ordinal maps, and clipping attendance to its physical maximum of 100%) are applied identically to both partitions, since they introduce no information from one to the other.</w:t>
      </w:r>
    </w:p>
    <w:p>
      <w:pPr>
        <w:spacing w:after="140"/>
      </w:pPr>
      <w:r>
        <w:rPr>
          <w:sz w:val="22"/>
          <w:szCs w:val="22"/>
        </w:rPr>
        <w:t xml:space="preserve">This is a correction. In the previous revision, encoders, scalers and composite features were fitted on the complete dataset before partitioning and written to an intermediate file that a later notebook then split, so every fitted statistic had already seen the held-out rows. The corrected pipeline is implemented as a single function invoked inside every fold, and the property that the training fold is unchanged when the validation fold is altered is asserted programmatically before any model is fitted.</w:t>
      </w:r>
    </w:p>
    <w:p>
      <w:pPr>
        <w:pStyle w:val="Heading2"/>
        <w:spacing w:after="120" w:before="240"/>
      </w:pPr>
      <w:r>
        <w:t xml:space="preserve">Leakage channels identified and closed</w:t>
      </w:r>
    </w:p>
    <w:p>
      <w:pPr>
        <w:spacing w:after="140"/>
      </w:pPr>
      <w:r>
        <w:rPr>
          <w:sz w:val="22"/>
          <w:szCs w:val="22"/>
        </w:rPr>
        <w:t xml:space="preserve">Four distinct channels were identified, of which only the first was recognised in the previous revision.</w:t>
      </w:r>
    </w:p>
    <w:p>
      <w:pPr>
        <w:spacing w:after="140"/>
      </w:pPr>
      <w:r>
        <w:rPr>
          <w:sz w:val="22"/>
          <w:szCs w:val="22"/>
        </w:rPr>
        <w:t xml:space="preserve">(i) Transformations fitted before partitioning, as described above.</w:t>
      </w:r>
    </w:p>
    <w:p>
      <w:pPr>
        <w:spacing w:after="140"/>
      </w:pPr>
      <w:r>
        <w:rPr>
          <w:sz w:val="22"/>
          <w:szCs w:val="22"/>
        </w:rPr>
        <w:t xml:space="preserve">(ii) Duplicate records spanning the partition (M3): seven pupils appeared on both sides of the earlier split.</w:t>
      </w:r>
    </w:p>
    <w:p>
      <w:pPr>
        <w:spacing w:after="140"/>
      </w:pPr>
      <w:r>
        <w:rPr>
          <w:sz w:val="22"/>
          <w:szCs w:val="22"/>
        </w:rPr>
        <w:t xml:space="preserve">(iii) Temporal leakage through term 3 attendance. All 48 pupils with zero recorded term 3 attendance are dropouts, and pupils with 80% or higher term 3 attendance drop out at a rate of 0.3%. Those 48 pupils had ceased attending before term 3, so the variable records the outcome rather than preceding it. Term 3 attendance is excluded from every model, and the attendance composite is built from terms 1 and 2 only. The previous revision assigned term 3 the largest weight (0.45) in that composite. Examination scores are not affected: the field visit took place during term 3 and the results obtained were those of term 2, which predate the outcome for every pupil.</w:t>
      </w:r>
    </w:p>
    <w:p>
      <w:pPr>
        <w:spacing w:after="140"/>
      </w:pPr>
      <w:r>
        <w:rPr>
          <w:sz w:val="22"/>
          <w:szCs w:val="22"/>
        </w:rPr>
        <w:t xml:space="preserve">(iv) Differential measurement (M4), addressed by restricting the primary feature set to school records.</w:t>
      </w:r>
    </w:p>
    <w:p>
      <w:pPr>
        <w:pStyle w:val="Heading2"/>
        <w:spacing w:after="120" w:before="240"/>
      </w:pPr>
      <w:r>
        <w:t xml:space="preserve">Column reduction</w:t>
      </w:r>
    </w:p>
    <w:p>
      <w:pPr>
        <w:spacing w:after="80" w:before="160"/>
      </w:pPr>
      <w:r>
        <w:rPr>
          <w:b/>
          <w:bCs/>
          <w:sz w:val="20"/>
          <w:szCs w:val="20"/>
        </w:rPr>
        <w:t xml:space="preserve">Table M3. Reduction from the raw workbook to the modelled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1498"/>
        <w:gridCol w:w="1498"/>
      </w:tblGrid>
      <w:tr>
        <w:trPr>
          <w:tblHeader/>
        </w:trPr>
        <w:tc>
          <w:tcPr>
            <w:tcW w:type="dxa" w:w="2246"/>
            <w:shd w:fill="E8EDF2" w:val="clear"/>
            <w:tcMar>
              <w:top w:type="dxa" w:w="60"/>
              <w:left w:type="dxa" w:w="90"/>
              <w:bottom w:type="dxa" w:w="60"/>
              <w:right w:type="dxa" w:w="90"/>
            </w:tcMar>
          </w:tcPr>
          <w:p>
            <w:r>
              <w:rPr>
                <w:b/>
                <w:bCs/>
                <w:sz w:val="18"/>
                <w:szCs w:val="18"/>
              </w:rPr>
              <w:t xml:space="preserve">Step</w:t>
            </w:r>
          </w:p>
        </w:tc>
        <w:tc>
          <w:tcPr>
            <w:tcW w:type="dxa" w:w="4118"/>
            <w:shd w:fill="E8EDF2" w:val="clear"/>
            <w:tcMar>
              <w:top w:type="dxa" w:w="60"/>
              <w:left w:type="dxa" w:w="90"/>
              <w:bottom w:type="dxa" w:w="60"/>
              <w:right w:type="dxa" w:w="90"/>
            </w:tcMar>
          </w:tcPr>
          <w:p>
            <w:r>
              <w:rPr>
                <w:b/>
                <w:bCs/>
                <w:sz w:val="18"/>
                <w:szCs w:val="18"/>
              </w:rPr>
              <w:t xml:space="preserve">Criterion</w:t>
            </w:r>
          </w:p>
        </w:tc>
        <w:tc>
          <w:tcPr>
            <w:tcW w:type="dxa" w:w="1498"/>
            <w:shd w:fill="E8EDF2" w:val="clear"/>
            <w:tcMar>
              <w:top w:type="dxa" w:w="60"/>
              <w:left w:type="dxa" w:w="90"/>
              <w:bottom w:type="dxa" w:w="60"/>
              <w:right w:type="dxa" w:w="90"/>
            </w:tcMar>
          </w:tcPr>
          <w:p>
            <w:r>
              <w:rPr>
                <w:b/>
                <w:bCs/>
                <w:sz w:val="18"/>
                <w:szCs w:val="18"/>
              </w:rPr>
              <w:t xml:space="preserve">Dropped</w:t>
            </w:r>
          </w:p>
        </w:tc>
        <w:tc>
          <w:tcPr>
            <w:tcW w:type="dxa" w:w="1498"/>
            <w:shd w:fill="E8EDF2" w:val="clear"/>
            <w:tcMar>
              <w:top w:type="dxa" w:w="60"/>
              <w:left w:type="dxa" w:w="90"/>
              <w:bottom w:type="dxa" w:w="60"/>
              <w:right w:type="dxa" w:w="90"/>
            </w:tcMar>
          </w:tcPr>
          <w:p>
            <w:r>
              <w:rPr>
                <w:b/>
                <w:bCs/>
                <w:sz w:val="18"/>
                <w:szCs w:val="18"/>
              </w:rPr>
              <w:t xml:space="preserve">Remaining</w:t>
            </w:r>
          </w:p>
        </w:tc>
      </w:tr>
      <w:tr>
        <w:tc>
          <w:tcPr>
            <w:tcW w:type="dxa" w:w="2246"/>
            <w:tcMar>
              <w:top w:type="dxa" w:w="60"/>
              <w:left w:type="dxa" w:w="90"/>
              <w:bottom w:type="dxa" w:w="60"/>
              <w:right w:type="dxa" w:w="90"/>
            </w:tcMar>
          </w:tcPr>
          <w:p>
            <w:r>
              <w:rPr>
                <w:b w:val="false"/>
                <w:bCs w:val="false"/>
                <w:sz w:val="18"/>
                <w:szCs w:val="18"/>
              </w:rPr>
              <w:t xml:space="preserve">0. Raw workbook</w:t>
            </w:r>
          </w:p>
        </w:tc>
        <w:tc>
          <w:tcPr>
            <w:tcW w:type="dxa" w:w="4118"/>
            <w:tcMar>
              <w:top w:type="dxa" w:w="60"/>
              <w:left w:type="dxa" w:w="90"/>
              <w:bottom w:type="dxa" w:w="60"/>
              <w:right w:type="dxa" w:w="90"/>
            </w:tcMar>
          </w:tcPr>
          <w:p>
            <w:r>
              <w:rPr>
                <w:b w:val="false"/>
                <w:bCs w:val="false"/>
                <w:sz w:val="18"/>
                <w:szCs w:val="18"/>
              </w:rPr>
              <w:t xml:space="preserve">—</w:t>
            </w:r>
          </w:p>
        </w:tc>
        <w:tc>
          <w:tcPr>
            <w:tcW w:type="dxa" w:w="1498"/>
            <w:tcMar>
              <w:top w:type="dxa" w:w="60"/>
              <w:left w:type="dxa" w:w="90"/>
              <w:bottom w:type="dxa" w:w="60"/>
              <w:right w:type="dxa" w:w="90"/>
            </w:tcMar>
          </w:tcPr>
          <w:p>
            <w:r>
              <w:rPr>
                <w:b w:val="false"/>
                <w:bCs w:val="false"/>
                <w:sz w:val="18"/>
                <w:szCs w:val="18"/>
              </w:rPr>
              <w:t xml:space="preserve">0</w:t>
            </w:r>
          </w:p>
        </w:tc>
        <w:tc>
          <w:tcPr>
            <w:tcW w:type="dxa" w:w="1498"/>
            <w:tcMar>
              <w:top w:type="dxa" w:w="60"/>
              <w:left w:type="dxa" w:w="90"/>
              <w:bottom w:type="dxa" w:w="60"/>
              <w:right w:type="dxa" w:w="90"/>
            </w:tcMar>
          </w:tcPr>
          <w:p>
            <w:r>
              <w:rPr>
                <w:b w:val="false"/>
                <w:bCs w:val="false"/>
                <w:sz w:val="18"/>
                <w:szCs w:val="18"/>
              </w:rPr>
              <w:t xml:space="preserve">48</w:t>
            </w:r>
          </w:p>
        </w:tc>
      </w:tr>
      <w:tr>
        <w:tc>
          <w:tcPr>
            <w:tcW w:type="dxa" w:w="2246"/>
            <w:tcMar>
              <w:top w:type="dxa" w:w="60"/>
              <w:left w:type="dxa" w:w="90"/>
              <w:bottom w:type="dxa" w:w="60"/>
              <w:right w:type="dxa" w:w="90"/>
            </w:tcMar>
          </w:tcPr>
          <w:p>
            <w:r>
              <w:rPr>
                <w:b w:val="false"/>
                <w:bCs w:val="false"/>
                <w:sz w:val="18"/>
                <w:szCs w:val="18"/>
              </w:rPr>
              <w:t xml:space="preserve">1. Target leakage</w:t>
            </w:r>
          </w:p>
        </w:tc>
        <w:tc>
          <w:tcPr>
            <w:tcW w:type="dxa" w:w="4118"/>
            <w:tcMar>
              <w:top w:type="dxa" w:w="60"/>
              <w:left w:type="dxa" w:w="90"/>
              <w:bottom w:type="dxa" w:w="60"/>
              <w:right w:type="dxa" w:w="90"/>
            </w:tcMar>
          </w:tcPr>
          <w:p>
            <w:r>
              <w:rPr>
                <w:b w:val="false"/>
                <w:bCs w:val="false"/>
                <w:sz w:val="18"/>
                <w:szCs w:val="18"/>
              </w:rPr>
              <w:t xml:space="preserve">Derived from or dated by the outcome</w:t>
            </w:r>
          </w:p>
        </w:tc>
        <w:tc>
          <w:tcPr>
            <w:tcW w:type="dxa" w:w="1498"/>
            <w:tcMar>
              <w:top w:type="dxa" w:w="60"/>
              <w:left w:type="dxa" w:w="90"/>
              <w:bottom w:type="dxa" w:w="60"/>
              <w:right w:type="dxa" w:w="90"/>
            </w:tcMar>
          </w:tcPr>
          <w:p>
            <w:r>
              <w:rPr>
                <w:b w:val="false"/>
                <w:bCs w:val="false"/>
                <w:sz w:val="18"/>
                <w:szCs w:val="18"/>
              </w:rPr>
              <w:t xml:space="preserve">1</w:t>
            </w:r>
          </w:p>
        </w:tc>
        <w:tc>
          <w:tcPr>
            <w:tcW w:type="dxa" w:w="1498"/>
            <w:tcMar>
              <w:top w:type="dxa" w:w="60"/>
              <w:left w:type="dxa" w:w="90"/>
              <w:bottom w:type="dxa" w:w="60"/>
              <w:right w:type="dxa" w:w="90"/>
            </w:tcMar>
          </w:tcPr>
          <w:p>
            <w:r>
              <w:rPr>
                <w:b w:val="false"/>
                <w:bCs w:val="false"/>
                <w:sz w:val="18"/>
                <w:szCs w:val="18"/>
              </w:rPr>
              <w:t xml:space="preserve">47</w:t>
            </w:r>
          </w:p>
        </w:tc>
      </w:tr>
      <w:tr>
        <w:tc>
          <w:tcPr>
            <w:tcW w:type="dxa" w:w="2246"/>
            <w:tcMar>
              <w:top w:type="dxa" w:w="60"/>
              <w:left w:type="dxa" w:w="90"/>
              <w:bottom w:type="dxa" w:w="60"/>
              <w:right w:type="dxa" w:w="90"/>
            </w:tcMar>
          </w:tcPr>
          <w:p>
            <w:r>
              <w:rPr>
                <w:b w:val="false"/>
                <w:bCs w:val="false"/>
                <w:sz w:val="18"/>
                <w:szCs w:val="18"/>
              </w:rPr>
              <w:t xml:space="preserve">1b. Temporal leakage</w:t>
            </w:r>
          </w:p>
        </w:tc>
        <w:tc>
          <w:tcPr>
            <w:tcW w:type="dxa" w:w="4118"/>
            <w:tcMar>
              <w:top w:type="dxa" w:w="60"/>
              <w:left w:type="dxa" w:w="90"/>
              <w:bottom w:type="dxa" w:w="60"/>
              <w:right w:type="dxa" w:w="90"/>
            </w:tcMar>
          </w:tcPr>
          <w:p>
            <w:r>
              <w:rPr>
                <w:b w:val="false"/>
                <w:bCs w:val="false"/>
                <w:sz w:val="18"/>
                <w:szCs w:val="18"/>
              </w:rPr>
              <w:t xml:space="preserve">Recorded after the outcome occurred</w:t>
            </w:r>
          </w:p>
        </w:tc>
        <w:tc>
          <w:tcPr>
            <w:tcW w:type="dxa" w:w="1498"/>
            <w:tcMar>
              <w:top w:type="dxa" w:w="60"/>
              <w:left w:type="dxa" w:w="90"/>
              <w:bottom w:type="dxa" w:w="60"/>
              <w:right w:type="dxa" w:w="90"/>
            </w:tcMar>
          </w:tcPr>
          <w:p>
            <w:r>
              <w:rPr>
                <w:b w:val="false"/>
                <w:bCs w:val="false"/>
                <w:sz w:val="18"/>
                <w:szCs w:val="18"/>
              </w:rPr>
              <w:t xml:space="preserve">1</w:t>
            </w:r>
          </w:p>
        </w:tc>
        <w:tc>
          <w:tcPr>
            <w:tcW w:type="dxa" w:w="1498"/>
            <w:tcMar>
              <w:top w:type="dxa" w:w="60"/>
              <w:left w:type="dxa" w:w="90"/>
              <w:bottom w:type="dxa" w:w="60"/>
              <w:right w:type="dxa" w:w="90"/>
            </w:tcMar>
          </w:tcPr>
          <w:p>
            <w:r>
              <w:rPr>
                <w:b w:val="false"/>
                <w:bCs w:val="false"/>
                <w:sz w:val="18"/>
                <w:szCs w:val="18"/>
              </w:rPr>
              <w:t xml:space="preserve">46</w:t>
            </w:r>
          </w:p>
        </w:tc>
      </w:tr>
      <w:tr>
        <w:tc>
          <w:tcPr>
            <w:tcW w:type="dxa" w:w="2246"/>
            <w:tcMar>
              <w:top w:type="dxa" w:w="60"/>
              <w:left w:type="dxa" w:w="90"/>
              <w:bottom w:type="dxa" w:w="60"/>
              <w:right w:type="dxa" w:w="90"/>
            </w:tcMar>
          </w:tcPr>
          <w:p>
            <w:r>
              <w:rPr>
                <w:b w:val="false"/>
                <w:bCs w:val="false"/>
                <w:sz w:val="18"/>
                <w:szCs w:val="18"/>
              </w:rPr>
              <w:t xml:space="preserve">1c. Differential measurement</w:t>
            </w:r>
          </w:p>
        </w:tc>
        <w:tc>
          <w:tcPr>
            <w:tcW w:type="dxa" w:w="4118"/>
            <w:tcMar>
              <w:top w:type="dxa" w:w="60"/>
              <w:left w:type="dxa" w:w="90"/>
              <w:bottom w:type="dxa" w:w="60"/>
              <w:right w:type="dxa" w:w="90"/>
            </w:tcMar>
          </w:tcPr>
          <w:p>
            <w:r>
              <w:rPr>
                <w:b w:val="false"/>
                <w:bCs w:val="false"/>
                <w:sz w:val="18"/>
                <w:szCs w:val="18"/>
              </w:rPr>
              <w:t xml:space="preserve">Proxy-reported for dropouts, self-reported for stayers</w:t>
            </w:r>
          </w:p>
        </w:tc>
        <w:tc>
          <w:tcPr>
            <w:tcW w:type="dxa" w:w="1498"/>
            <w:tcMar>
              <w:top w:type="dxa" w:w="60"/>
              <w:left w:type="dxa" w:w="90"/>
              <w:bottom w:type="dxa" w:w="60"/>
              <w:right w:type="dxa" w:w="90"/>
            </w:tcMar>
          </w:tcPr>
          <w:p>
            <w:r>
              <w:rPr>
                <w:b w:val="false"/>
                <w:bCs w:val="false"/>
                <w:sz w:val="18"/>
                <w:szCs w:val="18"/>
              </w:rPr>
              <w:t xml:space="preserve">23</w:t>
            </w:r>
          </w:p>
        </w:tc>
        <w:tc>
          <w:tcPr>
            <w:tcW w:type="dxa" w:w="1498"/>
            <w:tcMar>
              <w:top w:type="dxa" w:w="60"/>
              <w:left w:type="dxa" w:w="90"/>
              <w:bottom w:type="dxa" w:w="60"/>
              <w:right w:type="dxa" w:w="90"/>
            </w:tcMar>
          </w:tcPr>
          <w:p>
            <w:r>
              <w:rPr>
                <w:b w:val="false"/>
                <w:bCs w:val="false"/>
                <w:sz w:val="18"/>
                <w:szCs w:val="18"/>
              </w:rPr>
              <w:t xml:space="preserve">23</w:t>
            </w:r>
          </w:p>
        </w:tc>
      </w:tr>
      <w:tr>
        <w:tc>
          <w:tcPr>
            <w:tcW w:type="dxa" w:w="2246"/>
            <w:tcMar>
              <w:top w:type="dxa" w:w="60"/>
              <w:left w:type="dxa" w:w="90"/>
              <w:bottom w:type="dxa" w:w="60"/>
              <w:right w:type="dxa" w:w="90"/>
            </w:tcMar>
          </w:tcPr>
          <w:p>
            <w:r>
              <w:rPr>
                <w:b w:val="false"/>
                <w:bCs w:val="false"/>
                <w:sz w:val="18"/>
                <w:szCs w:val="18"/>
              </w:rPr>
              <w:t xml:space="preserve">2. Identifier / provenance</w:t>
            </w:r>
          </w:p>
        </w:tc>
        <w:tc>
          <w:tcPr>
            <w:tcW w:type="dxa" w:w="4118"/>
            <w:tcMar>
              <w:top w:type="dxa" w:w="60"/>
              <w:left w:type="dxa" w:w="90"/>
              <w:bottom w:type="dxa" w:w="60"/>
              <w:right w:type="dxa" w:w="90"/>
            </w:tcMar>
          </w:tcPr>
          <w:p>
            <w:r>
              <w:rPr>
                <w:b w:val="false"/>
                <w:bCs w:val="false"/>
                <w:sz w:val="18"/>
                <w:szCs w:val="18"/>
              </w:rPr>
              <w:t xml:space="preserve">Exact name or whole underscore-delimited token</w:t>
            </w:r>
          </w:p>
        </w:tc>
        <w:tc>
          <w:tcPr>
            <w:tcW w:type="dxa" w:w="1498"/>
            <w:tcMar>
              <w:top w:type="dxa" w:w="60"/>
              <w:left w:type="dxa" w:w="90"/>
              <w:bottom w:type="dxa" w:w="60"/>
              <w:right w:type="dxa" w:w="90"/>
            </w:tcMar>
          </w:tcPr>
          <w:p>
            <w:r>
              <w:rPr>
                <w:b w:val="false"/>
                <w:bCs w:val="false"/>
                <w:sz w:val="18"/>
                <w:szCs w:val="18"/>
              </w:rPr>
              <w:t xml:space="preserve">4</w:t>
            </w:r>
          </w:p>
        </w:tc>
        <w:tc>
          <w:tcPr>
            <w:tcW w:type="dxa" w:w="1498"/>
            <w:tcMar>
              <w:top w:type="dxa" w:w="60"/>
              <w:left w:type="dxa" w:w="90"/>
              <w:bottom w:type="dxa" w:w="60"/>
              <w:right w:type="dxa" w:w="90"/>
            </w:tcMar>
          </w:tcPr>
          <w:p>
            <w:r>
              <w:rPr>
                <w:b w:val="false"/>
                <w:bCs w:val="false"/>
                <w:sz w:val="18"/>
                <w:szCs w:val="18"/>
              </w:rPr>
              <w:t xml:space="preserve">19</w:t>
            </w:r>
          </w:p>
        </w:tc>
      </w:tr>
      <w:tr>
        <w:tc>
          <w:tcPr>
            <w:tcW w:type="dxa" w:w="2246"/>
            <w:tcMar>
              <w:top w:type="dxa" w:w="60"/>
              <w:left w:type="dxa" w:w="90"/>
              <w:bottom w:type="dxa" w:w="60"/>
              <w:right w:type="dxa" w:w="90"/>
            </w:tcMar>
          </w:tcPr>
          <w:p>
            <w:r>
              <w:rPr>
                <w:b w:val="false"/>
                <w:bCs w:val="false"/>
                <w:sz w:val="18"/>
                <w:szCs w:val="18"/>
              </w:rPr>
              <w:t xml:space="preserve">3. Derived duplicate</w:t>
            </w:r>
          </w:p>
        </w:tc>
        <w:tc>
          <w:tcPr>
            <w:tcW w:type="dxa" w:w="4118"/>
            <w:tcMar>
              <w:top w:type="dxa" w:w="60"/>
              <w:left w:type="dxa" w:w="90"/>
              <w:bottom w:type="dxa" w:w="60"/>
              <w:right w:type="dxa" w:w="90"/>
            </w:tcMar>
          </w:tcPr>
          <w:p>
            <w:r>
              <w:rPr>
                <w:b w:val="false"/>
                <w:bCs w:val="false"/>
                <w:sz w:val="18"/>
                <w:szCs w:val="18"/>
              </w:rPr>
              <w:t xml:space="preserve">Arithmetically recoverable from retained columns</w:t>
            </w:r>
          </w:p>
        </w:tc>
        <w:tc>
          <w:tcPr>
            <w:tcW w:type="dxa" w:w="1498"/>
            <w:tcMar>
              <w:top w:type="dxa" w:w="60"/>
              <w:left w:type="dxa" w:w="90"/>
              <w:bottom w:type="dxa" w:w="60"/>
              <w:right w:type="dxa" w:w="90"/>
            </w:tcMar>
          </w:tcPr>
          <w:p>
            <w:r>
              <w:rPr>
                <w:b w:val="false"/>
                <w:bCs w:val="false"/>
                <w:sz w:val="18"/>
                <w:szCs w:val="18"/>
              </w:rPr>
              <w:t xml:space="preserve">1</w:t>
            </w:r>
          </w:p>
        </w:tc>
        <w:tc>
          <w:tcPr>
            <w:tcW w:type="dxa" w:w="1498"/>
            <w:tcMar>
              <w:top w:type="dxa" w:w="60"/>
              <w:left w:type="dxa" w:w="90"/>
              <w:bottom w:type="dxa" w:w="60"/>
              <w:right w:type="dxa" w:w="90"/>
            </w:tcMar>
          </w:tcPr>
          <w:p>
            <w:r>
              <w:rPr>
                <w:b w:val="false"/>
                <w:bCs w:val="false"/>
                <w:sz w:val="18"/>
                <w:szCs w:val="18"/>
              </w:rPr>
              <w:t xml:space="preserve">18</w:t>
            </w:r>
          </w:p>
        </w:tc>
      </w:tr>
      <w:tr>
        <w:tc>
          <w:tcPr>
            <w:tcW w:type="dxa" w:w="2246"/>
            <w:tcMar>
              <w:top w:type="dxa" w:w="60"/>
              <w:left w:type="dxa" w:w="90"/>
              <w:bottom w:type="dxa" w:w="60"/>
              <w:right w:type="dxa" w:w="90"/>
            </w:tcMar>
          </w:tcPr>
          <w:p>
            <w:r>
              <w:rPr>
                <w:b w:val="false"/>
                <w:bCs w:val="false"/>
                <w:sz w:val="18"/>
                <w:szCs w:val="18"/>
              </w:rPr>
              <w:t xml:space="preserve">4. Failed range validation</w:t>
            </w:r>
          </w:p>
        </w:tc>
        <w:tc>
          <w:tcPr>
            <w:tcW w:type="dxa" w:w="4118"/>
            <w:tcMar>
              <w:top w:type="dxa" w:w="60"/>
              <w:left w:type="dxa" w:w="90"/>
              <w:bottom w:type="dxa" w:w="60"/>
              <w:right w:type="dxa" w:w="90"/>
            </w:tcMar>
          </w:tcPr>
          <w:p>
            <w:r>
              <w:rPr>
                <w:b w:val="false"/>
                <w:bCs w:val="false"/>
                <w:sz w:val="18"/>
                <w:szCs w:val="18"/>
              </w:rPr>
              <w:t xml:space="preserve">Values outside the declared scale</w:t>
            </w:r>
          </w:p>
        </w:tc>
        <w:tc>
          <w:tcPr>
            <w:tcW w:type="dxa" w:w="1498"/>
            <w:tcMar>
              <w:top w:type="dxa" w:w="60"/>
              <w:left w:type="dxa" w:w="90"/>
              <w:bottom w:type="dxa" w:w="60"/>
              <w:right w:type="dxa" w:w="90"/>
            </w:tcMar>
          </w:tcPr>
          <w:p>
            <w:r>
              <w:rPr>
                <w:b w:val="false"/>
                <w:bCs w:val="false"/>
                <w:sz w:val="18"/>
                <w:szCs w:val="18"/>
              </w:rPr>
              <w:t xml:space="preserve">0</w:t>
            </w:r>
          </w:p>
        </w:tc>
        <w:tc>
          <w:tcPr>
            <w:tcW w:type="dxa" w:w="1498"/>
            <w:tcMar>
              <w:top w:type="dxa" w:w="60"/>
              <w:left w:type="dxa" w:w="90"/>
              <w:bottom w:type="dxa" w:w="60"/>
              <w:right w:type="dxa" w:w="90"/>
            </w:tcMar>
          </w:tcPr>
          <w:p>
            <w:r>
              <w:rPr>
                <w:b w:val="false"/>
                <w:bCs w:val="false"/>
                <w:sz w:val="18"/>
                <w:szCs w:val="18"/>
              </w:rPr>
              <w:t xml:space="preserve">18</w:t>
            </w:r>
          </w:p>
        </w:tc>
      </w:tr>
      <w:tr>
        <w:tc>
          <w:tcPr>
            <w:tcW w:type="dxa" w:w="2246"/>
            <w:tcMar>
              <w:top w:type="dxa" w:w="60"/>
              <w:left w:type="dxa" w:w="90"/>
              <w:bottom w:type="dxa" w:w="60"/>
              <w:right w:type="dxa" w:w="90"/>
            </w:tcMar>
          </w:tcPr>
          <w:p>
            <w:r>
              <w:rPr>
                <w:b w:val="false"/>
                <w:bCs w:val="false"/>
                <w:sz w:val="18"/>
                <w:szCs w:val="18"/>
              </w:rPr>
              <w:t xml:space="preserve">5. Entirely empty</w:t>
            </w:r>
          </w:p>
        </w:tc>
        <w:tc>
          <w:tcPr>
            <w:tcW w:type="dxa" w:w="4118"/>
            <w:tcMar>
              <w:top w:type="dxa" w:w="60"/>
              <w:left w:type="dxa" w:w="90"/>
              <w:bottom w:type="dxa" w:w="60"/>
              <w:right w:type="dxa" w:w="90"/>
            </w:tcMar>
          </w:tcPr>
          <w:p>
            <w:r>
              <w:rPr>
                <w:b w:val="false"/>
                <w:bCs w:val="false"/>
                <w:sz w:val="18"/>
                <w:szCs w:val="18"/>
              </w:rPr>
              <w:t xml:space="preserve">100% missing</w:t>
            </w:r>
          </w:p>
        </w:tc>
        <w:tc>
          <w:tcPr>
            <w:tcW w:type="dxa" w:w="1498"/>
            <w:tcMar>
              <w:top w:type="dxa" w:w="60"/>
              <w:left w:type="dxa" w:w="90"/>
              <w:bottom w:type="dxa" w:w="60"/>
              <w:right w:type="dxa" w:w="90"/>
            </w:tcMar>
          </w:tcPr>
          <w:p>
            <w:r>
              <w:rPr>
                <w:b w:val="false"/>
                <w:bCs w:val="false"/>
                <w:sz w:val="18"/>
                <w:szCs w:val="18"/>
              </w:rPr>
              <w:t xml:space="preserve">1</w:t>
            </w:r>
          </w:p>
        </w:tc>
        <w:tc>
          <w:tcPr>
            <w:tcW w:type="dxa" w:w="1498"/>
            <w:tcMar>
              <w:top w:type="dxa" w:w="60"/>
              <w:left w:type="dxa" w:w="90"/>
              <w:bottom w:type="dxa" w:w="60"/>
              <w:right w:type="dxa" w:w="90"/>
            </w:tcMar>
          </w:tcPr>
          <w:p>
            <w:r>
              <w:rPr>
                <w:b w:val="false"/>
                <w:bCs w:val="false"/>
                <w:sz w:val="18"/>
                <w:szCs w:val="18"/>
              </w:rPr>
              <w:t xml:space="preserve">17</w:t>
            </w:r>
          </w:p>
        </w:tc>
      </w:tr>
      <w:tr>
        <w:tc>
          <w:tcPr>
            <w:tcW w:type="dxa" w:w="2246"/>
            <w:tcMar>
              <w:top w:type="dxa" w:w="60"/>
              <w:left w:type="dxa" w:w="90"/>
              <w:bottom w:type="dxa" w:w="60"/>
              <w:right w:type="dxa" w:w="90"/>
            </w:tcMar>
          </w:tcPr>
          <w:p>
            <w:r>
              <w:rPr>
                <w:b w:val="false"/>
                <w:bCs w:val="false"/>
                <w:sz w:val="18"/>
                <w:szCs w:val="18"/>
              </w:rPr>
              <w:t xml:space="preserve">6. Near-unique text</w:t>
            </w:r>
          </w:p>
        </w:tc>
        <w:tc>
          <w:tcPr>
            <w:tcW w:type="dxa" w:w="4118"/>
            <w:tcMar>
              <w:top w:type="dxa" w:w="60"/>
              <w:left w:type="dxa" w:w="90"/>
              <w:bottom w:type="dxa" w:w="60"/>
              <w:right w:type="dxa" w:w="90"/>
            </w:tcMar>
          </w:tcPr>
          <w:p>
            <w:r>
              <w:rPr>
                <w:b w:val="false"/>
                <w:bCs w:val="false"/>
                <w:sz w:val="18"/>
                <w:szCs w:val="18"/>
              </w:rPr>
              <w:t xml:space="preserve">Over 98% distinct values, text columns only</w:t>
            </w:r>
          </w:p>
        </w:tc>
        <w:tc>
          <w:tcPr>
            <w:tcW w:type="dxa" w:w="1498"/>
            <w:tcMar>
              <w:top w:type="dxa" w:w="60"/>
              <w:left w:type="dxa" w:w="90"/>
              <w:bottom w:type="dxa" w:w="60"/>
              <w:right w:type="dxa" w:w="90"/>
            </w:tcMar>
          </w:tcPr>
          <w:p>
            <w:r>
              <w:rPr>
                <w:b w:val="false"/>
                <w:bCs w:val="false"/>
                <w:sz w:val="18"/>
                <w:szCs w:val="18"/>
              </w:rPr>
              <w:t xml:space="preserve">0</w:t>
            </w:r>
          </w:p>
        </w:tc>
        <w:tc>
          <w:tcPr>
            <w:tcW w:type="dxa" w:w="1498"/>
            <w:tcMar>
              <w:top w:type="dxa" w:w="60"/>
              <w:left w:type="dxa" w:w="90"/>
              <w:bottom w:type="dxa" w:w="60"/>
              <w:right w:type="dxa" w:w="90"/>
            </w:tcMar>
          </w:tcPr>
          <w:p>
            <w:r>
              <w:rPr>
                <w:b w:val="false"/>
                <w:bCs w:val="false"/>
                <w:sz w:val="18"/>
                <w:szCs w:val="18"/>
              </w:rPr>
              <w:t xml:space="preserve">17</w:t>
            </w:r>
          </w:p>
        </w:tc>
      </w:tr>
      <w:tr>
        <w:tc>
          <w:tcPr>
            <w:tcW w:type="dxa" w:w="2246"/>
            <w:tcMar>
              <w:top w:type="dxa" w:w="60"/>
              <w:left w:type="dxa" w:w="90"/>
              <w:bottom w:type="dxa" w:w="60"/>
              <w:right w:type="dxa" w:w="90"/>
            </w:tcMar>
          </w:tcPr>
          <w:p>
            <w:r>
              <w:rPr>
                <w:b w:val="false"/>
                <w:bCs w:val="false"/>
                <w:sz w:val="18"/>
                <w:szCs w:val="18"/>
              </w:rPr>
              <w:t xml:space="preserve">7. Constant / near-constant</w:t>
            </w:r>
          </w:p>
        </w:tc>
        <w:tc>
          <w:tcPr>
            <w:tcW w:type="dxa" w:w="4118"/>
            <w:tcMar>
              <w:top w:type="dxa" w:w="60"/>
              <w:left w:type="dxa" w:w="90"/>
              <w:bottom w:type="dxa" w:w="60"/>
              <w:right w:type="dxa" w:w="90"/>
            </w:tcMar>
          </w:tcPr>
          <w:p>
            <w:r>
              <w:rPr>
                <w:b w:val="false"/>
                <w:bCs w:val="false"/>
                <w:sz w:val="18"/>
                <w:szCs w:val="18"/>
              </w:rPr>
              <w:t xml:space="preserve">Pruned inside each fold on training statistics</w:t>
            </w:r>
          </w:p>
        </w:tc>
        <w:tc>
          <w:tcPr>
            <w:tcW w:type="dxa" w:w="1498"/>
            <w:tcMar>
              <w:top w:type="dxa" w:w="60"/>
              <w:left w:type="dxa" w:w="90"/>
              <w:bottom w:type="dxa" w:w="60"/>
              <w:right w:type="dxa" w:w="90"/>
            </w:tcMar>
          </w:tcPr>
          <w:p>
            <w:r>
              <w:rPr>
                <w:b w:val="false"/>
                <w:bCs w:val="false"/>
                <w:sz w:val="18"/>
                <w:szCs w:val="18"/>
              </w:rPr>
              <w:t xml:space="preserve">fold-dependent</w:t>
            </w:r>
          </w:p>
        </w:tc>
        <w:tc>
          <w:tcPr>
            <w:tcW w:type="dxa" w:w="1498"/>
            <w:tcMar>
              <w:top w:type="dxa" w:w="60"/>
              <w:left w:type="dxa" w:w="90"/>
              <w:bottom w:type="dxa" w:w="60"/>
              <w:right w:type="dxa" w:w="90"/>
            </w:tcMar>
          </w:tcPr>
          <w:p>
            <w:r>
              <w:rPr>
                <w:b w:val="false"/>
                <w:bCs w:val="false"/>
                <w:sz w:val="18"/>
                <w:szCs w:val="18"/>
              </w:rPr>
              <w:t xml:space="preserve">15 (median)</w:t>
            </w:r>
          </w:p>
        </w:tc>
      </w:tr>
    </w:tbl>
    <w:p>
      <w:pPr>
        <w:spacing w:after="160"/>
      </w:pPr>
      <w:r>
        <w:rPr>
          <w:i/>
          <w:iCs/>
          <w:sz w:val="18"/>
          <w:szCs w:val="18"/>
        </w:rPr>
        <w:t xml:space="preserve">Source: results/notebook01_cleaning/…/column_cascade.csv. The final feature matrix contains 15 columns per fold: 13 school-record predictors, one non-response indicator, and the attendance risk index.</w:t>
      </w:r>
    </w:p>
    <w:p>
      <w:pPr>
        <w:spacing w:after="140"/>
      </w:pPr>
      <w:r>
        <w:rPr>
          <w:sz w:val="22"/>
          <w:szCs w:val="22"/>
        </w:rPr>
        <w:t xml:space="preserve">Two further corrections affect the feature matrix. The previous identifier-removal rule tested for keyword substrings rather than whole tokens, so any column whose name contained the letters "id" was removed without record. The rule now matches whole underscore-delimited tokens and exact column names. Separately, the variable data_source, which records the collection route ("Questionnaire" or "Both") rather than any pupil attribute, is excluded as a collection artefact despite being associated with the outcome.</w:t>
      </w:r>
    </w:p>
    <w:p>
      <w:pPr>
        <w:pStyle w:val="Heading2"/>
        <w:spacing w:after="120" w:before="240"/>
      </w:pPr>
      <w:r>
        <w:t xml:space="preserve">Missing and out-of-range values</w:t>
      </w:r>
    </w:p>
    <w:p>
      <w:pPr>
        <w:spacing w:after="140"/>
      </w:pPr>
      <w:r>
        <w:rPr>
          <w:sz w:val="22"/>
          <w:szCs w:val="22"/>
        </w:rPr>
        <w:t xml:space="preserve">Within the 981 analytic records, five columns contain missing values; the highest rate is extracurricular activities at 24.9%, followed by daily study hours at 3.2%. All are questionnaire items and therefore absent from the primary feature set. Among school-record variables, term 2 attendance has a single missing value.</w:t>
      </w:r>
    </w:p>
    <w:p>
      <w:pPr>
        <w:spacing w:after="140"/>
      </w:pPr>
      <w:r>
        <w:rPr>
          <w:sz w:val="22"/>
          <w:szCs w:val="22"/>
        </w:rPr>
        <w:t xml:space="preserve">Three attendance values exceed the physical maximum of 100% (one in term 1, two in term 2, observed maximum 102.9%). These are clipped to 100% inside each fold using the fixed physical bound rather than a data-derived threshold. The previous pipeline divided attendance by 100 only when the observed maximum exceeded 1.0, so values above 100 produced a negative risk contribution that propagated into the composite.</w:t>
      </w:r>
    </w:p>
    <w:p>
      <w:pPr>
        <w:spacing w:after="140"/>
      </w:pPr>
      <w:r>
        <w:rPr>
          <w:sz w:val="22"/>
          <w:szCs w:val="22"/>
        </w:rPr>
        <w:t xml:space="preserve">Two count variables arrive with non-integer values: grade repetition count (147 records) and siblings in school (208 records, with a further 18 above a plausible maximum and 16 unparseable). A count cannot take a fractional value, and the pattern is consistent with mean imputation applied during data entry. Such values are discarded, flagged with a non-response indicator and re-imputed from the training fold, which is the fold-safe treatment irrespective of their origin. Only grade repetition count enters the primary feature set.</w:t>
      </w:r>
    </w:p>
    <w:p>
      <w:pPr>
        <w:pStyle w:val="Heading1"/>
        <w:spacing w:after="160" w:before="280"/>
      </w:pPr>
      <w:r>
        <w:t xml:space="preserve">M7  Feature construction</w:t>
      </w:r>
    </w:p>
    <w:p>
      <w:pPr>
        <w:spacing w:after="140"/>
      </w:pPr>
      <w:r>
        <w:rPr>
          <w:sz w:val="22"/>
          <w:szCs w:val="22"/>
        </w:rPr>
        <w:t xml:space="preserve">One composite feature enters the primary analysis; two further composites are constructed from questionnaire items and appear only in the secondary analysis. All constants are stated.</w:t>
      </w:r>
    </w:p>
    <w:p>
      <w:pPr>
        <w:spacing w:after="140"/>
      </w:pPr>
      <w:r>
        <w:rPr>
          <w:sz w:val="22"/>
          <w:szCs w:val="22"/>
        </w:rPr>
        <w:t xml:space="preserve">Attendance risk index. The weighted mean across terms of (1 − attendance fraction), where the attendance fraction is clip(attendance, 0, 100) ÷ 100, with weights 0.40 for term 1 and 0.60 for term 2. The more recent term carries the greater weight on the reasoning that a late decline signals imminent departure more strongly than an early dip that later recovers. Term 3 is excluded for the reason given in M6(iii).</w:t>
      </w:r>
    </w:p>
    <w:p>
      <w:pPr>
        <w:spacing w:after="140"/>
      </w:pPr>
      <w:r>
        <w:rPr>
          <w:sz w:val="22"/>
          <w:szCs w:val="22"/>
        </w:rPr>
        <w:t xml:space="preserve">Socioeconomic vulnerability score (secondary analysis only). The mean of three components: LEAP beneficiary status (0/1), school feeding participation (0/1), and income vulnerability defined as 1 − (income ordinal ÷ 2), where family income level is mapped explicitly as Low = 0, Medium = 1, High = 2. Responses of "Don't know" are treated as missing and carry a separate indicator.</w:t>
      </w:r>
    </w:p>
    <w:p>
      <w:pPr>
        <w:spacing w:after="140"/>
      </w:pPr>
      <w:r>
        <w:rPr>
          <w:sz w:val="22"/>
          <w:szCs w:val="22"/>
        </w:rPr>
        <w:t xml:space="preserve">Behavioural engagement index (secondary analysis only). The mean of (1 − scaled behaviour-warning count), scaled class participation and scaled extracurricular involvement, each min-max scaled on the training fold.</w:t>
      </w:r>
    </w:p>
    <w:p>
      <w:pPr>
        <w:spacing w:after="140"/>
      </w:pPr>
      <w:r>
        <w:rPr>
          <w:sz w:val="22"/>
          <w:szCs w:val="22"/>
        </w:rPr>
        <w:t xml:space="preserve">An encoding fault in the previous revision is corrected. Ordered categorical variables were label-encoded, which assigns integers alphabetically; with both "High" and a misspelled "Hgh" present, family income level was ordered Don't know, High, Hgh, Low, Medium, so the vulnerability component was not monotone in income. Eleven ordered questionnaire variables are now mapped through explicit ordinal scales, and non-response categories are mapped to missing with an indicator rather than placed at the midpoint of the scale. The same fault affected three variables stored as text — grade repetition count, siblings in school and the social studies examination score — which were encoded as alphabetically ordered category codes rather than as numbers. These are now coerced to numeric values.</w:t>
      </w:r>
    </w:p>
    <w:p>
      <w:pPr>
        <w:pStyle w:val="Heading1"/>
        <w:spacing w:after="160" w:before="280"/>
      </w:pPr>
      <w:r>
        <w:t xml:space="preserve">M8  Class imbalance</w:t>
      </w:r>
    </w:p>
    <w:p>
      <w:pPr>
        <w:spacing w:after="140"/>
      </w:pPr>
      <w:r>
        <w:rPr>
          <w:sz w:val="22"/>
          <w:szCs w:val="22"/>
        </w:rPr>
        <w:t xml:space="preserve">The outcome base rate is 8.8%. Four handling strategies were compared against no handling under the in-fold pipeline: balanced instance weighting, SMOTE, random oversampling and random undersampling. Resampling and synthetic generation are applied to the training fold only; the composition of every validation fold is verified programmatically to be unchanged, so no synthetic or duplicated record enters any evaluation partition.</w:t>
      </w:r>
    </w:p>
    <w:p>
      <w:pPr>
        <w:spacing w:after="140"/>
      </w:pPr>
      <w:r>
        <w:rPr>
          <w:sz w:val="22"/>
          <w:szCs w:val="22"/>
        </w:rPr>
        <w:t xml:space="preserve">The proposed model applies no resampling. Its focal objective incorporates a class-weighting term (α), and the comparison in M12 holds the weighting mechanism constant across arms.</w:t>
      </w:r>
    </w:p>
    <w:p>
      <w:pPr>
        <w:pStyle w:val="Heading1"/>
        <w:spacing w:after="160" w:before="280"/>
      </w:pPr>
      <w:r>
        <w:t xml:space="preserve">M9  Partitioning and clustering</w:t>
      </w:r>
    </w:p>
    <w:p>
      <w:pPr>
        <w:spacing w:after="140"/>
      </w:pPr>
      <w:r>
        <w:rPr>
          <w:sz w:val="22"/>
          <w:szCs w:val="22"/>
        </w:rPr>
        <w:t xml:space="preserve">Each record represents a distinct pupil and, after de-duplication, no pupil appears more than once. The data nonetheless carry a school-level grouping variable with four values distributed 481 / 329 / 92 / 79, with school-level dropout rates from 3.3% to 20.7%.</w:t>
      </w:r>
    </w:p>
    <w:p>
      <w:pPr>
        <w:spacing w:after="140"/>
      </w:pPr>
      <w:r>
        <w:rPr>
          <w:sz w:val="22"/>
          <w:szCs w:val="22"/>
        </w:rPr>
        <w:t xml:space="preserve">Because a pupil-level random split across four clusters would permit the model to learn cluster membership, school code is excluded from the feature matrix, and the claim is stated at pupil level within these four schools. A leave-one-school-out analysis is reported separately (R11); with four clusters it is presented as a bounded robustness check rather than a generalisation estimate.</w:t>
      </w:r>
    </w:p>
    <w:p>
      <w:pPr>
        <w:spacing w:after="140"/>
      </w:pPr>
      <w:r>
        <w:rPr>
          <w:sz w:val="22"/>
          <w:szCs w:val="22"/>
        </w:rPr>
        <w:t xml:space="preserve">The outer partition is a single stratified 80/20 split at seed 42, fixed before any analysis and never varied. All model selection, all cross-validation and all diagnostic work take place within the training partition of 784 pupils. The previous revision cross-validated over the complete dataset, so the 197 records reported as a held-out partition were present in cross-validation training folds.</w:t>
      </w:r>
    </w:p>
    <w:p>
      <w:pPr>
        <w:pStyle w:val="Heading1"/>
        <w:spacing w:after="160" w:before="280"/>
      </w:pPr>
      <w:r>
        <w:t xml:space="preserve">M10  Cross-validation protocol</w:t>
      </w:r>
    </w:p>
    <w:p>
      <w:pPr>
        <w:spacing w:after="140"/>
      </w:pPr>
      <w:r>
        <w:rPr>
          <w:sz w:val="22"/>
          <w:szCs w:val="22"/>
        </w:rPr>
        <w:t xml:space="preserve">Within the training partition, model comparison uses repeated stratified k-fold cross-validation with five folds and five repeats, replicated across ten random seeds (42, 123, 456, 789, 1024, 2048, 3333, 5555, 7777, 9999), giving 250 paired fold evaluations per arm. Seeds re-partition the same 784 pupils and are therefore not independent samples; they are reported as replications, and fold results are never pooled into a single larger sample size.</w:t>
      </w:r>
    </w:p>
    <w:p>
      <w:pPr>
        <w:pStyle w:val="Heading1"/>
        <w:spacing w:after="160" w:before="280"/>
      </w:pPr>
      <w:r>
        <w:t xml:space="preserve">M11  Model substrate</w:t>
      </w:r>
    </w:p>
    <w:p>
      <w:pPr>
        <w:spacing w:after="140"/>
      </w:pPr>
      <w:r>
        <w:rPr>
          <w:sz w:val="22"/>
          <w:szCs w:val="22"/>
        </w:rPr>
        <w:t xml:space="preserve">LightGBM is the substrate for the experimental comparison. The justification rests on two grounds and both are stated, because the first alone would not support the choice.</w:t>
      </w:r>
    </w:p>
    <w:p>
      <w:pPr>
        <w:spacing w:after="140"/>
      </w:pPr>
      <w:r>
        <w:rPr>
          <w:sz w:val="22"/>
          <w:szCs w:val="22"/>
        </w:rPr>
        <w:t xml:space="preserve">First, LightGBM is competitive with the strongest baseline but does not lead it: across the six-classifier comparison (R2) Random Forest attains a mean AUC-PR of 0.9868 against 0.9812 for LightGBM, a difference larger than the between-seed standard deviation of either. Second, of the six classifiers evaluated, LightGBM is the only one that accepts a fully custom training objective supplying gradient and Hessian, which the intervention under test requires. The substrate is therefore selected for the capability the research question demands, not for superior baseline performance, and the gap to Random Forest is reported rather than omitted.</w:t>
      </w:r>
    </w:p>
    <w:p>
      <w:pPr>
        <w:pStyle w:val="Heading1"/>
        <w:spacing w:after="160" w:before="280"/>
      </w:pPr>
      <w:r>
        <w:t xml:space="preserve">M12  Experimental arms</w:t>
      </w:r>
    </w:p>
    <w:p>
      <w:pPr>
        <w:spacing w:after="140"/>
      </w:pPr>
      <w:r>
        <w:rPr>
          <w:sz w:val="22"/>
          <w:szCs w:val="22"/>
        </w:rPr>
        <w:t xml:space="preserve">The comparison is a full 2 × 2 × 2 factorial over feature set (school records with or without the attendance composite), training objective (binary cross-entropy or focal loss) and class reweighting (absent or balanced instance weights), giving eight arms. A ninth arm reproduces the previous revision's baseline configuration so that the new results reconcile against the old tables.</w:t>
      </w:r>
    </w:p>
    <w:p>
      <w:pPr>
        <w:spacing w:after="140"/>
      </w:pPr>
      <w:r>
        <w:rPr>
          <w:sz w:val="22"/>
          <w:szCs w:val="22"/>
        </w:rPr>
        <w:t xml:space="preserve">Class reweighting uses the same mechanism in both objectives, implemented as balanced instance weights. This corrects an asymmetry in the previous revision. LightGBM honours the is_unbalance parameter only for its built-in objectives; under a custom objective it is inert, a fact verified directly in this revision by fitting the focal arm with the parameter set and unset and confirming that the predictions are identical to machine precision. The previous baseline therefore received an explicit class-weighting correction that the proposed arm never received.</w:t>
      </w:r>
    </w:p>
    <w:p>
      <w:pPr>
        <w:spacing w:after="80" w:before="160"/>
      </w:pPr>
      <w:r>
        <w:rPr>
          <w:b/>
          <w:bCs/>
          <w:sz w:val="20"/>
          <w:szCs w:val="20"/>
        </w:rPr>
        <w:t xml:space="preserve">Table M4. Experimental 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621"/>
        <w:gridCol w:w="2246"/>
        <w:gridCol w:w="2059"/>
      </w:tblGrid>
      <w:tr>
        <w:trPr>
          <w:tblHeader/>
        </w:trPr>
        <w:tc>
          <w:tcPr>
            <w:tcW w:type="dxa" w:w="2434"/>
            <w:shd w:fill="E8EDF2" w:val="clear"/>
            <w:tcMar>
              <w:top w:type="dxa" w:w="60"/>
              <w:left w:type="dxa" w:w="90"/>
              <w:bottom w:type="dxa" w:w="60"/>
              <w:right w:type="dxa" w:w="90"/>
            </w:tcMar>
          </w:tcPr>
          <w:p>
            <w:r>
              <w:rPr>
                <w:b/>
                <w:bCs/>
                <w:sz w:val="18"/>
                <w:szCs w:val="18"/>
              </w:rPr>
              <w:t xml:space="preserve">Arm</w:t>
            </w:r>
          </w:p>
        </w:tc>
        <w:tc>
          <w:tcPr>
            <w:tcW w:type="dxa" w:w="2621"/>
            <w:shd w:fill="E8EDF2" w:val="clear"/>
            <w:tcMar>
              <w:top w:type="dxa" w:w="60"/>
              <w:left w:type="dxa" w:w="90"/>
              <w:bottom w:type="dxa" w:w="60"/>
              <w:right w:type="dxa" w:w="90"/>
            </w:tcMar>
          </w:tcPr>
          <w:p>
            <w:r>
              <w:rPr>
                <w:b/>
                <w:bCs/>
                <w:sz w:val="18"/>
                <w:szCs w:val="18"/>
              </w:rPr>
              <w:t xml:space="preserve">Features</w:t>
            </w:r>
          </w:p>
        </w:tc>
        <w:tc>
          <w:tcPr>
            <w:tcW w:type="dxa" w:w="2246"/>
            <w:shd w:fill="E8EDF2" w:val="clear"/>
            <w:tcMar>
              <w:top w:type="dxa" w:w="60"/>
              <w:left w:type="dxa" w:w="90"/>
              <w:bottom w:type="dxa" w:w="60"/>
              <w:right w:type="dxa" w:w="90"/>
            </w:tcMar>
          </w:tcPr>
          <w:p>
            <w:r>
              <w:rPr>
                <w:b/>
                <w:bCs/>
                <w:sz w:val="18"/>
                <w:szCs w:val="18"/>
              </w:rPr>
              <w:t xml:space="preserve">Objective</w:t>
            </w:r>
          </w:p>
        </w:tc>
        <w:tc>
          <w:tcPr>
            <w:tcW w:type="dxa" w:w="2059"/>
            <w:shd w:fill="E8EDF2" w:val="clear"/>
            <w:tcMar>
              <w:top w:type="dxa" w:w="60"/>
              <w:left w:type="dxa" w:w="90"/>
              <w:bottom w:type="dxa" w:w="60"/>
              <w:right w:type="dxa" w:w="90"/>
            </w:tcMar>
          </w:tcPr>
          <w:p>
            <w:r>
              <w:rPr>
                <w:b/>
                <w:bCs/>
                <w:sz w:val="18"/>
                <w:szCs w:val="18"/>
              </w:rPr>
              <w:t xml:space="preserve">Reweighting</w:t>
            </w:r>
          </w:p>
        </w:tc>
      </w:tr>
      <w:tr>
        <w:tc>
          <w:tcPr>
            <w:tcW w:type="dxa" w:w="2434"/>
            <w:tcMar>
              <w:top w:type="dxa" w:w="60"/>
              <w:left w:type="dxa" w:w="90"/>
              <w:bottom w:type="dxa" w:w="60"/>
              <w:right w:type="dxa" w:w="90"/>
            </w:tcMar>
          </w:tcPr>
          <w:p>
            <w:r>
              <w:rPr>
                <w:b w:val="false"/>
                <w:bCs w:val="false"/>
                <w:sz w:val="18"/>
                <w:szCs w:val="18"/>
              </w:rPr>
              <w:t xml:space="preserve">A</w:t>
            </w:r>
          </w:p>
        </w:tc>
        <w:tc>
          <w:tcPr>
            <w:tcW w:type="dxa" w:w="2621"/>
            <w:tcMar>
              <w:top w:type="dxa" w:w="60"/>
              <w:left w:type="dxa" w:w="90"/>
              <w:bottom w:type="dxa" w:w="60"/>
              <w:right w:type="dxa" w:w="90"/>
            </w:tcMar>
          </w:tcPr>
          <w:p>
            <w:r>
              <w:rPr>
                <w:b w:val="false"/>
                <w:bCs w:val="false"/>
                <w:sz w:val="18"/>
                <w:szCs w:val="18"/>
              </w:rPr>
              <w:t xml:space="preserve">Records only</w:t>
            </w:r>
          </w:p>
        </w:tc>
        <w:tc>
          <w:tcPr>
            <w:tcW w:type="dxa" w:w="2246"/>
            <w:tcMar>
              <w:top w:type="dxa" w:w="60"/>
              <w:left w:type="dxa" w:w="90"/>
              <w:bottom w:type="dxa" w:w="60"/>
              <w:right w:type="dxa" w:w="90"/>
            </w:tcMar>
          </w:tcPr>
          <w:p>
            <w:r>
              <w:rPr>
                <w:b w:val="false"/>
                <w:bCs w:val="false"/>
                <w:sz w:val="18"/>
                <w:szCs w:val="18"/>
              </w:rPr>
              <w:t xml:space="preserve">Cross-entropy</w:t>
            </w:r>
          </w:p>
        </w:tc>
        <w:tc>
          <w:tcPr>
            <w:tcW w:type="dxa" w:w="2059"/>
            <w:tcMar>
              <w:top w:type="dxa" w:w="60"/>
              <w:left w:type="dxa" w:w="90"/>
              <w:bottom w:type="dxa" w:w="60"/>
              <w:right w:type="dxa" w:w="90"/>
            </w:tcMar>
          </w:tcPr>
          <w:p>
            <w:r>
              <w:rPr>
                <w:b w:val="false"/>
                <w:bCs w:val="false"/>
                <w:sz w:val="18"/>
                <w:szCs w:val="18"/>
              </w:rPr>
              <w:t xml:space="preserve">None</w:t>
            </w:r>
          </w:p>
        </w:tc>
      </w:tr>
      <w:tr>
        <w:tc>
          <w:tcPr>
            <w:tcW w:type="dxa" w:w="2434"/>
            <w:tcMar>
              <w:top w:type="dxa" w:w="60"/>
              <w:left w:type="dxa" w:w="90"/>
              <w:bottom w:type="dxa" w:w="60"/>
              <w:right w:type="dxa" w:w="90"/>
            </w:tcMar>
          </w:tcPr>
          <w:p>
            <w:r>
              <w:rPr>
                <w:b w:val="false"/>
                <w:bCs w:val="false"/>
                <w:sz w:val="18"/>
                <w:szCs w:val="18"/>
              </w:rPr>
              <w:t xml:space="preserve">B</w:t>
            </w:r>
          </w:p>
        </w:tc>
        <w:tc>
          <w:tcPr>
            <w:tcW w:type="dxa" w:w="2621"/>
            <w:tcMar>
              <w:top w:type="dxa" w:w="60"/>
              <w:left w:type="dxa" w:w="90"/>
              <w:bottom w:type="dxa" w:w="60"/>
              <w:right w:type="dxa" w:w="90"/>
            </w:tcMar>
          </w:tcPr>
          <w:p>
            <w:r>
              <w:rPr>
                <w:b w:val="false"/>
                <w:bCs w:val="false"/>
                <w:sz w:val="18"/>
                <w:szCs w:val="18"/>
              </w:rPr>
              <w:t xml:space="preserve">Records only</w:t>
            </w:r>
          </w:p>
        </w:tc>
        <w:tc>
          <w:tcPr>
            <w:tcW w:type="dxa" w:w="2246"/>
            <w:tcMar>
              <w:top w:type="dxa" w:w="60"/>
              <w:left w:type="dxa" w:w="90"/>
              <w:bottom w:type="dxa" w:w="60"/>
              <w:right w:type="dxa" w:w="90"/>
            </w:tcMar>
          </w:tcPr>
          <w:p>
            <w:r>
              <w:rPr>
                <w:b w:val="false"/>
                <w:bCs w:val="false"/>
                <w:sz w:val="18"/>
                <w:szCs w:val="18"/>
              </w:rPr>
              <w:t xml:space="preserve">Cross-entropy</w:t>
            </w:r>
          </w:p>
        </w:tc>
        <w:tc>
          <w:tcPr>
            <w:tcW w:type="dxa" w:w="2059"/>
            <w:tcMar>
              <w:top w:type="dxa" w:w="60"/>
              <w:left w:type="dxa" w:w="90"/>
              <w:bottom w:type="dxa" w:w="60"/>
              <w:right w:type="dxa" w:w="90"/>
            </w:tcMar>
          </w:tcPr>
          <w:p>
            <w:r>
              <w:rPr>
                <w:b w:val="false"/>
                <w:bCs w:val="false"/>
                <w:sz w:val="18"/>
                <w:szCs w:val="18"/>
              </w:rPr>
              <w:t xml:space="preserve">Balanced</w:t>
            </w:r>
          </w:p>
        </w:tc>
      </w:tr>
      <w:tr>
        <w:tc>
          <w:tcPr>
            <w:tcW w:type="dxa" w:w="2434"/>
            <w:tcMar>
              <w:top w:type="dxa" w:w="60"/>
              <w:left w:type="dxa" w:w="90"/>
              <w:bottom w:type="dxa" w:w="60"/>
              <w:right w:type="dxa" w:w="90"/>
            </w:tcMar>
          </w:tcPr>
          <w:p>
            <w:r>
              <w:rPr>
                <w:b w:val="false"/>
                <w:bCs w:val="false"/>
                <w:sz w:val="18"/>
                <w:szCs w:val="18"/>
              </w:rPr>
              <w:t xml:space="preserve">C</w:t>
            </w:r>
          </w:p>
        </w:tc>
        <w:tc>
          <w:tcPr>
            <w:tcW w:type="dxa" w:w="2621"/>
            <w:tcMar>
              <w:top w:type="dxa" w:w="60"/>
              <w:left w:type="dxa" w:w="90"/>
              <w:bottom w:type="dxa" w:w="60"/>
              <w:right w:type="dxa" w:w="90"/>
            </w:tcMar>
          </w:tcPr>
          <w:p>
            <w:r>
              <w:rPr>
                <w:b w:val="false"/>
                <w:bCs w:val="false"/>
                <w:sz w:val="18"/>
                <w:szCs w:val="18"/>
              </w:rPr>
              <w:t xml:space="preserve">Records only</w:t>
            </w:r>
          </w:p>
        </w:tc>
        <w:tc>
          <w:tcPr>
            <w:tcW w:type="dxa" w:w="2246"/>
            <w:tcMar>
              <w:top w:type="dxa" w:w="60"/>
              <w:left w:type="dxa" w:w="90"/>
              <w:bottom w:type="dxa" w:w="60"/>
              <w:right w:type="dxa" w:w="90"/>
            </w:tcMar>
          </w:tcPr>
          <w:p>
            <w:r>
              <w:rPr>
                <w:b w:val="false"/>
                <w:bCs w:val="false"/>
                <w:sz w:val="18"/>
                <w:szCs w:val="18"/>
              </w:rPr>
              <w:t xml:space="preserve">Focal</w:t>
            </w:r>
          </w:p>
        </w:tc>
        <w:tc>
          <w:tcPr>
            <w:tcW w:type="dxa" w:w="2059"/>
            <w:tcMar>
              <w:top w:type="dxa" w:w="60"/>
              <w:left w:type="dxa" w:w="90"/>
              <w:bottom w:type="dxa" w:w="60"/>
              <w:right w:type="dxa" w:w="90"/>
            </w:tcMar>
          </w:tcPr>
          <w:p>
            <w:r>
              <w:rPr>
                <w:b w:val="false"/>
                <w:bCs w:val="false"/>
                <w:sz w:val="18"/>
                <w:szCs w:val="18"/>
              </w:rPr>
              <w:t xml:space="preserve">None</w:t>
            </w:r>
          </w:p>
        </w:tc>
      </w:tr>
      <w:tr>
        <w:tc>
          <w:tcPr>
            <w:tcW w:type="dxa" w:w="2434"/>
            <w:tcMar>
              <w:top w:type="dxa" w:w="60"/>
              <w:left w:type="dxa" w:w="90"/>
              <w:bottom w:type="dxa" w:w="60"/>
              <w:right w:type="dxa" w:w="90"/>
            </w:tcMar>
          </w:tcPr>
          <w:p>
            <w:r>
              <w:rPr>
                <w:b w:val="false"/>
                <w:bCs w:val="false"/>
                <w:sz w:val="18"/>
                <w:szCs w:val="18"/>
              </w:rPr>
              <w:t xml:space="preserve">D</w:t>
            </w:r>
          </w:p>
        </w:tc>
        <w:tc>
          <w:tcPr>
            <w:tcW w:type="dxa" w:w="2621"/>
            <w:tcMar>
              <w:top w:type="dxa" w:w="60"/>
              <w:left w:type="dxa" w:w="90"/>
              <w:bottom w:type="dxa" w:w="60"/>
              <w:right w:type="dxa" w:w="90"/>
            </w:tcMar>
          </w:tcPr>
          <w:p>
            <w:r>
              <w:rPr>
                <w:b w:val="false"/>
                <w:bCs w:val="false"/>
                <w:sz w:val="18"/>
                <w:szCs w:val="18"/>
              </w:rPr>
              <w:t xml:space="preserve">Records only</w:t>
            </w:r>
          </w:p>
        </w:tc>
        <w:tc>
          <w:tcPr>
            <w:tcW w:type="dxa" w:w="2246"/>
            <w:tcMar>
              <w:top w:type="dxa" w:w="60"/>
              <w:left w:type="dxa" w:w="90"/>
              <w:bottom w:type="dxa" w:w="60"/>
              <w:right w:type="dxa" w:w="90"/>
            </w:tcMar>
          </w:tcPr>
          <w:p>
            <w:r>
              <w:rPr>
                <w:b w:val="false"/>
                <w:bCs w:val="false"/>
                <w:sz w:val="18"/>
                <w:szCs w:val="18"/>
              </w:rPr>
              <w:t xml:space="preserve">Focal</w:t>
            </w:r>
          </w:p>
        </w:tc>
        <w:tc>
          <w:tcPr>
            <w:tcW w:type="dxa" w:w="2059"/>
            <w:tcMar>
              <w:top w:type="dxa" w:w="60"/>
              <w:left w:type="dxa" w:w="90"/>
              <w:bottom w:type="dxa" w:w="60"/>
              <w:right w:type="dxa" w:w="90"/>
            </w:tcMar>
          </w:tcPr>
          <w:p>
            <w:r>
              <w:rPr>
                <w:b w:val="false"/>
                <w:bCs w:val="false"/>
                <w:sz w:val="18"/>
                <w:szCs w:val="18"/>
              </w:rPr>
              <w:t xml:space="preserve">Balanced</w:t>
            </w:r>
          </w:p>
        </w:tc>
      </w:tr>
      <w:tr>
        <w:tc>
          <w:tcPr>
            <w:tcW w:type="dxa" w:w="2434"/>
            <w:tcMar>
              <w:top w:type="dxa" w:w="60"/>
              <w:left w:type="dxa" w:w="90"/>
              <w:bottom w:type="dxa" w:w="60"/>
              <w:right w:type="dxa" w:w="90"/>
            </w:tcMar>
          </w:tcPr>
          <w:p>
            <w:r>
              <w:rPr>
                <w:b w:val="false"/>
                <w:bCs w:val="false"/>
                <w:sz w:val="18"/>
                <w:szCs w:val="18"/>
              </w:rPr>
              <w:t xml:space="preserve">E  (matched reference)</w:t>
            </w:r>
          </w:p>
        </w:tc>
        <w:tc>
          <w:tcPr>
            <w:tcW w:type="dxa" w:w="2621"/>
            <w:tcMar>
              <w:top w:type="dxa" w:w="60"/>
              <w:left w:type="dxa" w:w="90"/>
              <w:bottom w:type="dxa" w:w="60"/>
              <w:right w:type="dxa" w:w="90"/>
            </w:tcMar>
          </w:tcPr>
          <w:p>
            <w:r>
              <w:rPr>
                <w:b w:val="false"/>
                <w:bCs w:val="false"/>
                <w:sz w:val="18"/>
                <w:szCs w:val="18"/>
              </w:rPr>
              <w:t xml:space="preserve">Records + composite</w:t>
            </w:r>
          </w:p>
        </w:tc>
        <w:tc>
          <w:tcPr>
            <w:tcW w:type="dxa" w:w="2246"/>
            <w:tcMar>
              <w:top w:type="dxa" w:w="60"/>
              <w:left w:type="dxa" w:w="90"/>
              <w:bottom w:type="dxa" w:w="60"/>
              <w:right w:type="dxa" w:w="90"/>
            </w:tcMar>
          </w:tcPr>
          <w:p>
            <w:r>
              <w:rPr>
                <w:b w:val="false"/>
                <w:bCs w:val="false"/>
                <w:sz w:val="18"/>
                <w:szCs w:val="18"/>
              </w:rPr>
              <w:t xml:space="preserve">Cross-entropy</w:t>
            </w:r>
          </w:p>
        </w:tc>
        <w:tc>
          <w:tcPr>
            <w:tcW w:type="dxa" w:w="2059"/>
            <w:tcMar>
              <w:top w:type="dxa" w:w="60"/>
              <w:left w:type="dxa" w:w="90"/>
              <w:bottom w:type="dxa" w:w="60"/>
              <w:right w:type="dxa" w:w="90"/>
            </w:tcMar>
          </w:tcPr>
          <w:p>
            <w:r>
              <w:rPr>
                <w:b w:val="false"/>
                <w:bCs w:val="false"/>
                <w:sz w:val="18"/>
                <w:szCs w:val="18"/>
              </w:rPr>
              <w:t xml:space="preserve">None</w:t>
            </w:r>
          </w:p>
        </w:tc>
      </w:tr>
      <w:tr>
        <w:tc>
          <w:tcPr>
            <w:tcW w:type="dxa" w:w="2434"/>
            <w:tcMar>
              <w:top w:type="dxa" w:w="60"/>
              <w:left w:type="dxa" w:w="90"/>
              <w:bottom w:type="dxa" w:w="60"/>
              <w:right w:type="dxa" w:w="90"/>
            </w:tcMar>
          </w:tcPr>
          <w:p>
            <w:r>
              <w:rPr>
                <w:b w:val="false"/>
                <w:bCs w:val="false"/>
                <w:sz w:val="18"/>
                <w:szCs w:val="18"/>
              </w:rPr>
              <w:t xml:space="preserve">F</w:t>
            </w:r>
          </w:p>
        </w:tc>
        <w:tc>
          <w:tcPr>
            <w:tcW w:type="dxa" w:w="2621"/>
            <w:tcMar>
              <w:top w:type="dxa" w:w="60"/>
              <w:left w:type="dxa" w:w="90"/>
              <w:bottom w:type="dxa" w:w="60"/>
              <w:right w:type="dxa" w:w="90"/>
            </w:tcMar>
          </w:tcPr>
          <w:p>
            <w:r>
              <w:rPr>
                <w:b w:val="false"/>
                <w:bCs w:val="false"/>
                <w:sz w:val="18"/>
                <w:szCs w:val="18"/>
              </w:rPr>
              <w:t xml:space="preserve">Records + composite</w:t>
            </w:r>
          </w:p>
        </w:tc>
        <w:tc>
          <w:tcPr>
            <w:tcW w:type="dxa" w:w="2246"/>
            <w:tcMar>
              <w:top w:type="dxa" w:w="60"/>
              <w:left w:type="dxa" w:w="90"/>
              <w:bottom w:type="dxa" w:w="60"/>
              <w:right w:type="dxa" w:w="90"/>
            </w:tcMar>
          </w:tcPr>
          <w:p>
            <w:r>
              <w:rPr>
                <w:b w:val="false"/>
                <w:bCs w:val="false"/>
                <w:sz w:val="18"/>
                <w:szCs w:val="18"/>
              </w:rPr>
              <w:t xml:space="preserve">Cross-entropy</w:t>
            </w:r>
          </w:p>
        </w:tc>
        <w:tc>
          <w:tcPr>
            <w:tcW w:type="dxa" w:w="2059"/>
            <w:tcMar>
              <w:top w:type="dxa" w:w="60"/>
              <w:left w:type="dxa" w:w="90"/>
              <w:bottom w:type="dxa" w:w="60"/>
              <w:right w:type="dxa" w:w="90"/>
            </w:tcMar>
          </w:tcPr>
          <w:p>
            <w:r>
              <w:rPr>
                <w:b w:val="false"/>
                <w:bCs w:val="false"/>
                <w:sz w:val="18"/>
                <w:szCs w:val="18"/>
              </w:rPr>
              <w:t xml:space="preserve">Balanced</w:t>
            </w:r>
          </w:p>
        </w:tc>
      </w:tr>
      <w:tr>
        <w:tc>
          <w:tcPr>
            <w:tcW w:type="dxa" w:w="2434"/>
            <w:tcMar>
              <w:top w:type="dxa" w:w="60"/>
              <w:left w:type="dxa" w:w="90"/>
              <w:bottom w:type="dxa" w:w="60"/>
              <w:right w:type="dxa" w:w="90"/>
            </w:tcMar>
          </w:tcPr>
          <w:p>
            <w:r>
              <w:rPr>
                <w:b w:val="false"/>
                <w:bCs w:val="false"/>
                <w:sz w:val="18"/>
                <w:szCs w:val="18"/>
              </w:rPr>
              <w:t xml:space="preserve">G  (E-LightGBM)</w:t>
            </w:r>
          </w:p>
        </w:tc>
        <w:tc>
          <w:tcPr>
            <w:tcW w:type="dxa" w:w="2621"/>
            <w:tcMar>
              <w:top w:type="dxa" w:w="60"/>
              <w:left w:type="dxa" w:w="90"/>
              <w:bottom w:type="dxa" w:w="60"/>
              <w:right w:type="dxa" w:w="90"/>
            </w:tcMar>
          </w:tcPr>
          <w:p>
            <w:r>
              <w:rPr>
                <w:b w:val="false"/>
                <w:bCs w:val="false"/>
                <w:sz w:val="18"/>
                <w:szCs w:val="18"/>
              </w:rPr>
              <w:t xml:space="preserve">Records + composite</w:t>
            </w:r>
          </w:p>
        </w:tc>
        <w:tc>
          <w:tcPr>
            <w:tcW w:type="dxa" w:w="2246"/>
            <w:tcMar>
              <w:top w:type="dxa" w:w="60"/>
              <w:left w:type="dxa" w:w="90"/>
              <w:bottom w:type="dxa" w:w="60"/>
              <w:right w:type="dxa" w:w="90"/>
            </w:tcMar>
          </w:tcPr>
          <w:p>
            <w:r>
              <w:rPr>
                <w:b w:val="false"/>
                <w:bCs w:val="false"/>
                <w:sz w:val="18"/>
                <w:szCs w:val="18"/>
              </w:rPr>
              <w:t xml:space="preserve">Focal</w:t>
            </w:r>
          </w:p>
        </w:tc>
        <w:tc>
          <w:tcPr>
            <w:tcW w:type="dxa" w:w="2059"/>
            <w:tcMar>
              <w:top w:type="dxa" w:w="60"/>
              <w:left w:type="dxa" w:w="90"/>
              <w:bottom w:type="dxa" w:w="60"/>
              <w:right w:type="dxa" w:w="90"/>
            </w:tcMar>
          </w:tcPr>
          <w:p>
            <w:r>
              <w:rPr>
                <w:b w:val="false"/>
                <w:bCs w:val="false"/>
                <w:sz w:val="18"/>
                <w:szCs w:val="18"/>
              </w:rPr>
              <w:t xml:space="preserve">None</w:t>
            </w:r>
          </w:p>
        </w:tc>
      </w:tr>
      <w:tr>
        <w:tc>
          <w:tcPr>
            <w:tcW w:type="dxa" w:w="2434"/>
            <w:tcMar>
              <w:top w:type="dxa" w:w="60"/>
              <w:left w:type="dxa" w:w="90"/>
              <w:bottom w:type="dxa" w:w="60"/>
              <w:right w:type="dxa" w:w="90"/>
            </w:tcMar>
          </w:tcPr>
          <w:p>
            <w:r>
              <w:rPr>
                <w:b w:val="false"/>
                <w:bCs w:val="false"/>
                <w:sz w:val="18"/>
                <w:szCs w:val="18"/>
              </w:rPr>
              <w:t xml:space="preserve">H</w:t>
            </w:r>
          </w:p>
        </w:tc>
        <w:tc>
          <w:tcPr>
            <w:tcW w:type="dxa" w:w="2621"/>
            <w:tcMar>
              <w:top w:type="dxa" w:w="60"/>
              <w:left w:type="dxa" w:w="90"/>
              <w:bottom w:type="dxa" w:w="60"/>
              <w:right w:type="dxa" w:w="90"/>
            </w:tcMar>
          </w:tcPr>
          <w:p>
            <w:r>
              <w:rPr>
                <w:b w:val="false"/>
                <w:bCs w:val="false"/>
                <w:sz w:val="18"/>
                <w:szCs w:val="18"/>
              </w:rPr>
              <w:t xml:space="preserve">Records + composite</w:t>
            </w:r>
          </w:p>
        </w:tc>
        <w:tc>
          <w:tcPr>
            <w:tcW w:type="dxa" w:w="2246"/>
            <w:tcMar>
              <w:top w:type="dxa" w:w="60"/>
              <w:left w:type="dxa" w:w="90"/>
              <w:bottom w:type="dxa" w:w="60"/>
              <w:right w:type="dxa" w:w="90"/>
            </w:tcMar>
          </w:tcPr>
          <w:p>
            <w:r>
              <w:rPr>
                <w:b w:val="false"/>
                <w:bCs w:val="false"/>
                <w:sz w:val="18"/>
                <w:szCs w:val="18"/>
              </w:rPr>
              <w:t xml:space="preserve">Focal</w:t>
            </w:r>
          </w:p>
        </w:tc>
        <w:tc>
          <w:tcPr>
            <w:tcW w:type="dxa" w:w="2059"/>
            <w:tcMar>
              <w:top w:type="dxa" w:w="60"/>
              <w:left w:type="dxa" w:w="90"/>
              <w:bottom w:type="dxa" w:w="60"/>
              <w:right w:type="dxa" w:w="90"/>
            </w:tcMar>
          </w:tcPr>
          <w:p>
            <w:r>
              <w:rPr>
                <w:b w:val="false"/>
                <w:bCs w:val="false"/>
                <w:sz w:val="18"/>
                <w:szCs w:val="18"/>
              </w:rPr>
              <w:t xml:space="preserve">Balanced</w:t>
            </w:r>
          </w:p>
        </w:tc>
      </w:tr>
      <w:tr>
        <w:tc>
          <w:tcPr>
            <w:tcW w:type="dxa" w:w="2434"/>
            <w:tcMar>
              <w:top w:type="dxa" w:w="60"/>
              <w:left w:type="dxa" w:w="90"/>
              <w:bottom w:type="dxa" w:w="60"/>
              <w:right w:type="dxa" w:w="90"/>
            </w:tcMar>
          </w:tcPr>
          <w:p>
            <w:r>
              <w:rPr>
                <w:b w:val="false"/>
                <w:bCs w:val="false"/>
                <w:sz w:val="18"/>
                <w:szCs w:val="18"/>
              </w:rPr>
              <w:t xml:space="preserve">Legacy A</w:t>
            </w:r>
          </w:p>
        </w:tc>
        <w:tc>
          <w:tcPr>
            <w:tcW w:type="dxa" w:w="2621"/>
            <w:tcMar>
              <w:top w:type="dxa" w:w="60"/>
              <w:left w:type="dxa" w:w="90"/>
              <w:bottom w:type="dxa" w:w="60"/>
              <w:right w:type="dxa" w:w="90"/>
            </w:tcMar>
          </w:tcPr>
          <w:p>
            <w:r>
              <w:rPr>
                <w:b w:val="false"/>
                <w:bCs w:val="false"/>
                <w:sz w:val="18"/>
                <w:szCs w:val="18"/>
              </w:rPr>
              <w:t xml:space="preserve">Records only</w:t>
            </w:r>
          </w:p>
        </w:tc>
        <w:tc>
          <w:tcPr>
            <w:tcW w:type="dxa" w:w="2246"/>
            <w:tcMar>
              <w:top w:type="dxa" w:w="60"/>
              <w:left w:type="dxa" w:w="90"/>
              <w:bottom w:type="dxa" w:w="60"/>
              <w:right w:type="dxa" w:w="90"/>
            </w:tcMar>
          </w:tcPr>
          <w:p>
            <w:r>
              <w:rPr>
                <w:b w:val="false"/>
                <w:bCs w:val="false"/>
                <w:sz w:val="18"/>
                <w:szCs w:val="18"/>
              </w:rPr>
              <w:t xml:space="preserve">Cross-entropy</w:t>
            </w:r>
          </w:p>
        </w:tc>
        <w:tc>
          <w:tcPr>
            <w:tcW w:type="dxa" w:w="2059"/>
            <w:tcMar>
              <w:top w:type="dxa" w:w="60"/>
              <w:left w:type="dxa" w:w="90"/>
              <w:bottom w:type="dxa" w:w="60"/>
              <w:right w:type="dxa" w:w="90"/>
            </w:tcMar>
          </w:tcPr>
          <w:p>
            <w:r>
              <w:rPr>
                <w:b w:val="false"/>
                <w:bCs w:val="false"/>
                <w:sz w:val="18"/>
                <w:szCs w:val="18"/>
              </w:rPr>
              <w:t xml:space="preserve">is_unbalance = True</w:t>
            </w:r>
          </w:p>
        </w:tc>
      </w:tr>
    </w:tbl>
    <w:p>
      <w:pPr>
        <w:spacing w:after="140"/>
      </w:pPr>
      <w:r>
        <w:rPr>
          <w:sz w:val="22"/>
          <w:szCs w:val="22"/>
        </w:rPr>
        <w:t xml:space="preserve">The primary comparison is arm E against arm G. These take an identical 15-column feature matrix, an identical hyperparameter configuration and an identical weighting mechanism, and differ only in the objective argument supplied to the learner. Contrasts that additionally vary the feature set or the weighting are reported separately in the ablation grid and are labelled by the number of components they vary. The previously reported headline contrast varied three components simultaneously.</w:t>
      </w:r>
    </w:p>
    <w:p>
      <w:pPr>
        <w:pStyle w:val="Heading1"/>
        <w:spacing w:after="160" w:before="280"/>
      </w:pPr>
      <w:r>
        <w:t xml:space="preserve">M13  Hyperparameter configuration and search disclosure</w:t>
      </w:r>
    </w:p>
    <w:p>
      <w:pPr>
        <w:spacing w:after="140"/>
      </w:pPr>
      <w:r>
        <w:rPr>
          <w:sz w:val="22"/>
          <w:szCs w:val="22"/>
        </w:rPr>
        <w:t xml:space="preserve">Both arms of the primary comparison use a single fixed configuration: 300 boosting rounds, 31 leaves, learning rate 0.05, row subsample 0.8, column subsample 0.8. Neither arm received any search trials, so tuning parity holds at zero trials each. The focal objective uses γ = 2.0 and α = 0.75, the parameterisation of Lin et al. (2017); a sensitivity grid over both parameters is reported in R4.</w:t>
      </w:r>
    </w:p>
    <w:p>
      <w:pPr>
        <w:spacing w:after="140"/>
      </w:pPr>
      <w:r>
        <w:rPr>
          <w:sz w:val="22"/>
          <w:szCs w:val="22"/>
        </w:rPr>
        <w:t xml:space="preserve">Exploratory searches conducted during the project are disclosed in full. A randomised search of 40 candidates per model was run for Random Forest, LightGBM and CatBoost, each under identical five-fold cross-validation within the training partition and each scored on AUC-PR, the declared primary metric. The previous revision searched on macro F1 while declaring AUC-PR primary, and gave CatBoost 15 trials at three folds against 40 trials at five folds for the other models.</w:t>
      </w:r>
    </w:p>
    <w:p>
      <w:pPr>
        <w:spacing w:after="80" w:before="160"/>
      </w:pPr>
      <w:r>
        <w:rPr>
          <w:b/>
          <w:bCs/>
          <w:sz w:val="20"/>
          <w:szCs w:val="20"/>
        </w:rPr>
        <w:t xml:space="preserve">Table M5. Disclosed hyperparameter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6"/>
        <w:gridCol w:w="1101"/>
        <w:gridCol w:w="1285"/>
        <w:gridCol w:w="1468"/>
        <w:gridCol w:w="1009"/>
        <w:gridCol w:w="1009"/>
        <w:gridCol w:w="1101"/>
      </w:tblGrid>
      <w:tr>
        <w:trPr>
          <w:tblHeader/>
        </w:trPr>
        <w:tc>
          <w:tcPr>
            <w:tcW w:type="dxa" w:w="2386"/>
            <w:shd w:fill="E8EDF2" w:val="clear"/>
            <w:tcMar>
              <w:top w:type="dxa" w:w="60"/>
              <w:left w:type="dxa" w:w="90"/>
              <w:bottom w:type="dxa" w:w="60"/>
              <w:right w:type="dxa" w:w="90"/>
            </w:tcMar>
          </w:tcPr>
          <w:p>
            <w:r>
              <w:rPr>
                <w:b/>
                <w:bCs/>
                <w:sz w:val="18"/>
                <w:szCs w:val="18"/>
              </w:rPr>
              <w:t xml:space="preserve">Model</w:t>
            </w:r>
          </w:p>
        </w:tc>
        <w:tc>
          <w:tcPr>
            <w:tcW w:type="dxa" w:w="1101"/>
            <w:shd w:fill="E8EDF2" w:val="clear"/>
            <w:tcMar>
              <w:top w:type="dxa" w:w="60"/>
              <w:left w:type="dxa" w:w="90"/>
              <w:bottom w:type="dxa" w:w="60"/>
              <w:right w:type="dxa" w:w="90"/>
            </w:tcMar>
          </w:tcPr>
          <w:p>
            <w:r>
              <w:rPr>
                <w:b/>
                <w:bCs/>
                <w:sz w:val="18"/>
                <w:szCs w:val="18"/>
              </w:rPr>
              <w:t xml:space="preserve">Trials</w:t>
            </w:r>
          </w:p>
        </w:tc>
        <w:tc>
          <w:tcPr>
            <w:tcW w:type="dxa" w:w="1285"/>
            <w:shd w:fill="E8EDF2" w:val="clear"/>
            <w:tcMar>
              <w:top w:type="dxa" w:w="60"/>
              <w:left w:type="dxa" w:w="90"/>
              <w:bottom w:type="dxa" w:w="60"/>
              <w:right w:type="dxa" w:w="90"/>
            </w:tcMar>
          </w:tcPr>
          <w:p>
            <w:r>
              <w:rPr>
                <w:b/>
                <w:bCs/>
                <w:sz w:val="18"/>
                <w:szCs w:val="18"/>
              </w:rPr>
              <w:t xml:space="preserve">CV folds</w:t>
            </w:r>
          </w:p>
        </w:tc>
        <w:tc>
          <w:tcPr>
            <w:tcW w:type="dxa" w:w="1468"/>
            <w:shd w:fill="E8EDF2" w:val="clear"/>
            <w:tcMar>
              <w:top w:type="dxa" w:w="60"/>
              <w:left w:type="dxa" w:w="90"/>
              <w:bottom w:type="dxa" w:w="60"/>
              <w:right w:type="dxa" w:w="90"/>
            </w:tcMar>
          </w:tcPr>
          <w:p>
            <w:r>
              <w:rPr>
                <w:b/>
                <w:bCs/>
                <w:sz w:val="18"/>
                <w:szCs w:val="18"/>
              </w:rPr>
              <w:t xml:space="preserve">Scoring</w:t>
            </w:r>
          </w:p>
        </w:tc>
        <w:tc>
          <w:tcPr>
            <w:tcW w:type="dxa" w:w="1009"/>
            <w:shd w:fill="E8EDF2" w:val="clear"/>
            <w:tcMar>
              <w:top w:type="dxa" w:w="60"/>
              <w:left w:type="dxa" w:w="90"/>
              <w:bottom w:type="dxa" w:w="60"/>
              <w:right w:type="dxa" w:w="90"/>
            </w:tcMar>
          </w:tcPr>
          <w:p>
            <w:r>
              <w:rPr>
                <w:b/>
                <w:bCs/>
                <w:sz w:val="18"/>
                <w:szCs w:val="18"/>
              </w:rPr>
              <w:t xml:space="preserve">Best</w:t>
            </w:r>
          </w:p>
        </w:tc>
        <w:tc>
          <w:tcPr>
            <w:tcW w:type="dxa" w:w="1009"/>
            <w:shd w:fill="E8EDF2" w:val="clear"/>
            <w:tcMar>
              <w:top w:type="dxa" w:w="60"/>
              <w:left w:type="dxa" w:w="90"/>
              <w:bottom w:type="dxa" w:w="60"/>
              <w:right w:type="dxa" w:w="90"/>
            </w:tcMar>
          </w:tcPr>
          <w:p>
            <w:r>
              <w:rPr>
                <w:b/>
                <w:bCs/>
                <w:sz w:val="18"/>
                <w:szCs w:val="18"/>
              </w:rPr>
              <w:t xml:space="preserve">Worst</w:t>
            </w:r>
          </w:p>
        </w:tc>
        <w:tc>
          <w:tcPr>
            <w:tcW w:type="dxa" w:w="1101"/>
            <w:shd w:fill="E8EDF2" w:val="clear"/>
            <w:tcMar>
              <w:top w:type="dxa" w:w="60"/>
              <w:left w:type="dxa" w:w="90"/>
              <w:bottom w:type="dxa" w:w="60"/>
              <w:right w:type="dxa" w:w="90"/>
            </w:tcMar>
          </w:tcPr>
          <w:p>
            <w:r>
              <w:rPr>
                <w:b/>
                <w:bCs/>
                <w:sz w:val="18"/>
                <w:szCs w:val="18"/>
              </w:rPr>
              <w:t xml:space="preserve">Median</w:t>
            </w:r>
          </w:p>
        </w:tc>
      </w:tr>
      <w:tr>
        <w:tc>
          <w:tcPr>
            <w:tcW w:type="dxa" w:w="2386"/>
            <w:tcMar>
              <w:top w:type="dxa" w:w="60"/>
              <w:left w:type="dxa" w:w="90"/>
              <w:bottom w:type="dxa" w:w="60"/>
              <w:right w:type="dxa" w:w="90"/>
            </w:tcMar>
          </w:tcPr>
          <w:p>
            <w:r>
              <w:rPr>
                <w:b w:val="false"/>
                <w:bCs w:val="false"/>
                <w:sz w:val="18"/>
                <w:szCs w:val="18"/>
              </w:rPr>
              <w:t xml:space="preserve">Random Forest</w:t>
            </w:r>
          </w:p>
        </w:tc>
        <w:tc>
          <w:tcPr>
            <w:tcW w:type="dxa" w:w="1101"/>
            <w:tcMar>
              <w:top w:type="dxa" w:w="60"/>
              <w:left w:type="dxa" w:w="90"/>
              <w:bottom w:type="dxa" w:w="60"/>
              <w:right w:type="dxa" w:w="90"/>
            </w:tcMar>
          </w:tcPr>
          <w:p>
            <w:r>
              <w:rPr>
                <w:b w:val="false"/>
                <w:bCs w:val="false"/>
                <w:sz w:val="18"/>
                <w:szCs w:val="18"/>
              </w:rPr>
              <w:t xml:space="preserve">40</w:t>
            </w:r>
          </w:p>
        </w:tc>
        <w:tc>
          <w:tcPr>
            <w:tcW w:type="dxa" w:w="1285"/>
            <w:tcMar>
              <w:top w:type="dxa" w:w="60"/>
              <w:left w:type="dxa" w:w="90"/>
              <w:bottom w:type="dxa" w:w="60"/>
              <w:right w:type="dxa" w:w="90"/>
            </w:tcMar>
          </w:tcPr>
          <w:p>
            <w:r>
              <w:rPr>
                <w:b w:val="false"/>
                <w:bCs w:val="false"/>
                <w:sz w:val="18"/>
                <w:szCs w:val="18"/>
              </w:rPr>
              <w:t xml:space="preserve">5</w:t>
            </w:r>
          </w:p>
        </w:tc>
        <w:tc>
          <w:tcPr>
            <w:tcW w:type="dxa" w:w="1468"/>
            <w:tcMar>
              <w:top w:type="dxa" w:w="60"/>
              <w:left w:type="dxa" w:w="90"/>
              <w:bottom w:type="dxa" w:w="60"/>
              <w:right w:type="dxa" w:w="90"/>
            </w:tcMar>
          </w:tcPr>
          <w:p>
            <w:r>
              <w:rPr>
                <w:b w:val="false"/>
                <w:bCs w:val="false"/>
                <w:sz w:val="18"/>
                <w:szCs w:val="18"/>
              </w:rPr>
              <w:t xml:space="preserve">AUC-PR</w:t>
            </w:r>
          </w:p>
        </w:tc>
        <w:tc>
          <w:tcPr>
            <w:tcW w:type="dxa" w:w="1009"/>
            <w:tcMar>
              <w:top w:type="dxa" w:w="60"/>
              <w:left w:type="dxa" w:w="90"/>
              <w:bottom w:type="dxa" w:w="60"/>
              <w:right w:type="dxa" w:w="90"/>
            </w:tcMar>
          </w:tcPr>
          <w:p>
            <w:r>
              <w:rPr>
                <w:b w:val="false"/>
                <w:bCs w:val="false"/>
                <w:sz w:val="18"/>
                <w:szCs w:val="18"/>
              </w:rPr>
              <w:t xml:space="preserve">0.9934</w:t>
            </w:r>
          </w:p>
        </w:tc>
        <w:tc>
          <w:tcPr>
            <w:tcW w:type="dxa" w:w="1009"/>
            <w:tcMar>
              <w:top w:type="dxa" w:w="60"/>
              <w:left w:type="dxa" w:w="90"/>
              <w:bottom w:type="dxa" w:w="60"/>
              <w:right w:type="dxa" w:w="90"/>
            </w:tcMar>
          </w:tcPr>
          <w:p>
            <w:r>
              <w:rPr>
                <w:b w:val="false"/>
                <w:bCs w:val="false"/>
                <w:sz w:val="18"/>
                <w:szCs w:val="18"/>
              </w:rPr>
              <w:t xml:space="preserve">0.9643</w:t>
            </w:r>
          </w:p>
        </w:tc>
        <w:tc>
          <w:tcPr>
            <w:tcW w:type="dxa" w:w="1101"/>
            <w:tcMar>
              <w:top w:type="dxa" w:w="60"/>
              <w:left w:type="dxa" w:w="90"/>
              <w:bottom w:type="dxa" w:w="60"/>
              <w:right w:type="dxa" w:w="90"/>
            </w:tcMar>
          </w:tcPr>
          <w:p>
            <w:r>
              <w:rPr>
                <w:b w:val="false"/>
                <w:bCs w:val="false"/>
                <w:sz w:val="18"/>
                <w:szCs w:val="18"/>
              </w:rPr>
              <w:t xml:space="preserve">0.9889</w:t>
            </w:r>
          </w:p>
        </w:tc>
      </w:tr>
      <w:tr>
        <w:tc>
          <w:tcPr>
            <w:tcW w:type="dxa" w:w="2386"/>
            <w:tcMar>
              <w:top w:type="dxa" w:w="60"/>
              <w:left w:type="dxa" w:w="90"/>
              <w:bottom w:type="dxa" w:w="60"/>
              <w:right w:type="dxa" w:w="90"/>
            </w:tcMar>
          </w:tcPr>
          <w:p>
            <w:r>
              <w:rPr>
                <w:b w:val="false"/>
                <w:bCs w:val="false"/>
                <w:sz w:val="18"/>
                <w:szCs w:val="18"/>
              </w:rPr>
              <w:t xml:space="preserve">LightGBM</w:t>
            </w:r>
          </w:p>
        </w:tc>
        <w:tc>
          <w:tcPr>
            <w:tcW w:type="dxa" w:w="1101"/>
            <w:tcMar>
              <w:top w:type="dxa" w:w="60"/>
              <w:left w:type="dxa" w:w="90"/>
              <w:bottom w:type="dxa" w:w="60"/>
              <w:right w:type="dxa" w:w="90"/>
            </w:tcMar>
          </w:tcPr>
          <w:p>
            <w:r>
              <w:rPr>
                <w:b w:val="false"/>
                <w:bCs w:val="false"/>
                <w:sz w:val="18"/>
                <w:szCs w:val="18"/>
              </w:rPr>
              <w:t xml:space="preserve">40</w:t>
            </w:r>
          </w:p>
        </w:tc>
        <w:tc>
          <w:tcPr>
            <w:tcW w:type="dxa" w:w="1285"/>
            <w:tcMar>
              <w:top w:type="dxa" w:w="60"/>
              <w:left w:type="dxa" w:w="90"/>
              <w:bottom w:type="dxa" w:w="60"/>
              <w:right w:type="dxa" w:w="90"/>
            </w:tcMar>
          </w:tcPr>
          <w:p>
            <w:r>
              <w:rPr>
                <w:b w:val="false"/>
                <w:bCs w:val="false"/>
                <w:sz w:val="18"/>
                <w:szCs w:val="18"/>
              </w:rPr>
              <w:t xml:space="preserve">5</w:t>
            </w:r>
          </w:p>
        </w:tc>
        <w:tc>
          <w:tcPr>
            <w:tcW w:type="dxa" w:w="1468"/>
            <w:tcMar>
              <w:top w:type="dxa" w:w="60"/>
              <w:left w:type="dxa" w:w="90"/>
              <w:bottom w:type="dxa" w:w="60"/>
              <w:right w:type="dxa" w:w="90"/>
            </w:tcMar>
          </w:tcPr>
          <w:p>
            <w:r>
              <w:rPr>
                <w:b w:val="false"/>
                <w:bCs w:val="false"/>
                <w:sz w:val="18"/>
                <w:szCs w:val="18"/>
              </w:rPr>
              <w:t xml:space="preserve">AUC-PR</w:t>
            </w:r>
          </w:p>
        </w:tc>
        <w:tc>
          <w:tcPr>
            <w:tcW w:type="dxa" w:w="1009"/>
            <w:tcMar>
              <w:top w:type="dxa" w:w="60"/>
              <w:left w:type="dxa" w:w="90"/>
              <w:bottom w:type="dxa" w:w="60"/>
              <w:right w:type="dxa" w:w="90"/>
            </w:tcMar>
          </w:tcPr>
          <w:p>
            <w:r>
              <w:rPr>
                <w:b w:val="false"/>
                <w:bCs w:val="false"/>
                <w:sz w:val="18"/>
                <w:szCs w:val="18"/>
              </w:rPr>
              <w:t xml:space="preserve">0.9892</w:t>
            </w:r>
          </w:p>
        </w:tc>
        <w:tc>
          <w:tcPr>
            <w:tcW w:type="dxa" w:w="1009"/>
            <w:tcMar>
              <w:top w:type="dxa" w:w="60"/>
              <w:left w:type="dxa" w:w="90"/>
              <w:bottom w:type="dxa" w:w="60"/>
              <w:right w:type="dxa" w:w="90"/>
            </w:tcMar>
          </w:tcPr>
          <w:p>
            <w:r>
              <w:rPr>
                <w:b w:val="false"/>
                <w:bCs w:val="false"/>
                <w:sz w:val="18"/>
                <w:szCs w:val="18"/>
              </w:rPr>
              <w:t xml:space="preserve">0.9725</w:t>
            </w:r>
          </w:p>
        </w:tc>
        <w:tc>
          <w:tcPr>
            <w:tcW w:type="dxa" w:w="1101"/>
            <w:tcMar>
              <w:top w:type="dxa" w:w="60"/>
              <w:left w:type="dxa" w:w="90"/>
              <w:bottom w:type="dxa" w:w="60"/>
              <w:right w:type="dxa" w:w="90"/>
            </w:tcMar>
          </w:tcPr>
          <w:p>
            <w:r>
              <w:rPr>
                <w:b w:val="false"/>
                <w:bCs w:val="false"/>
                <w:sz w:val="18"/>
                <w:szCs w:val="18"/>
              </w:rPr>
              <w:t xml:space="preserve">0.9819</w:t>
            </w:r>
          </w:p>
        </w:tc>
      </w:tr>
      <w:tr>
        <w:tc>
          <w:tcPr>
            <w:tcW w:type="dxa" w:w="2386"/>
            <w:tcMar>
              <w:top w:type="dxa" w:w="60"/>
              <w:left w:type="dxa" w:w="90"/>
              <w:bottom w:type="dxa" w:w="60"/>
              <w:right w:type="dxa" w:w="90"/>
            </w:tcMar>
          </w:tcPr>
          <w:p>
            <w:r>
              <w:rPr>
                <w:b w:val="false"/>
                <w:bCs w:val="false"/>
                <w:sz w:val="18"/>
                <w:szCs w:val="18"/>
              </w:rPr>
              <w:t xml:space="preserve">CatBoost</w:t>
            </w:r>
          </w:p>
        </w:tc>
        <w:tc>
          <w:tcPr>
            <w:tcW w:type="dxa" w:w="1101"/>
            <w:tcMar>
              <w:top w:type="dxa" w:w="60"/>
              <w:left w:type="dxa" w:w="90"/>
              <w:bottom w:type="dxa" w:w="60"/>
              <w:right w:type="dxa" w:w="90"/>
            </w:tcMar>
          </w:tcPr>
          <w:p>
            <w:r>
              <w:rPr>
                <w:b w:val="false"/>
                <w:bCs w:val="false"/>
                <w:sz w:val="18"/>
                <w:szCs w:val="18"/>
              </w:rPr>
              <w:t xml:space="preserve">40</w:t>
            </w:r>
          </w:p>
        </w:tc>
        <w:tc>
          <w:tcPr>
            <w:tcW w:type="dxa" w:w="1285"/>
            <w:tcMar>
              <w:top w:type="dxa" w:w="60"/>
              <w:left w:type="dxa" w:w="90"/>
              <w:bottom w:type="dxa" w:w="60"/>
              <w:right w:type="dxa" w:w="90"/>
            </w:tcMar>
          </w:tcPr>
          <w:p>
            <w:r>
              <w:rPr>
                <w:b w:val="false"/>
                <w:bCs w:val="false"/>
                <w:sz w:val="18"/>
                <w:szCs w:val="18"/>
              </w:rPr>
              <w:t xml:space="preserve">5</w:t>
            </w:r>
          </w:p>
        </w:tc>
        <w:tc>
          <w:tcPr>
            <w:tcW w:type="dxa" w:w="1468"/>
            <w:tcMar>
              <w:top w:type="dxa" w:w="60"/>
              <w:left w:type="dxa" w:w="90"/>
              <w:bottom w:type="dxa" w:w="60"/>
              <w:right w:type="dxa" w:w="90"/>
            </w:tcMar>
          </w:tcPr>
          <w:p>
            <w:r>
              <w:rPr>
                <w:b w:val="false"/>
                <w:bCs w:val="false"/>
                <w:sz w:val="18"/>
                <w:szCs w:val="18"/>
              </w:rPr>
              <w:t xml:space="preserve">AUC-PR</w:t>
            </w:r>
          </w:p>
        </w:tc>
        <w:tc>
          <w:tcPr>
            <w:tcW w:type="dxa" w:w="1009"/>
            <w:tcMar>
              <w:top w:type="dxa" w:w="60"/>
              <w:left w:type="dxa" w:w="90"/>
              <w:bottom w:type="dxa" w:w="60"/>
              <w:right w:type="dxa" w:w="90"/>
            </w:tcMar>
          </w:tcPr>
          <w:p>
            <w:r>
              <w:rPr>
                <w:b w:val="false"/>
                <w:bCs w:val="false"/>
                <w:sz w:val="18"/>
                <w:szCs w:val="18"/>
              </w:rPr>
              <w:t xml:space="preserve">0.9827</w:t>
            </w:r>
          </w:p>
        </w:tc>
        <w:tc>
          <w:tcPr>
            <w:tcW w:type="dxa" w:w="1009"/>
            <w:tcMar>
              <w:top w:type="dxa" w:w="60"/>
              <w:left w:type="dxa" w:w="90"/>
              <w:bottom w:type="dxa" w:w="60"/>
              <w:right w:type="dxa" w:w="90"/>
            </w:tcMar>
          </w:tcPr>
          <w:p>
            <w:r>
              <w:rPr>
                <w:b w:val="false"/>
                <w:bCs w:val="false"/>
                <w:sz w:val="18"/>
                <w:szCs w:val="18"/>
              </w:rPr>
              <w:t xml:space="preserve">0.9675</w:t>
            </w:r>
          </w:p>
        </w:tc>
        <w:tc>
          <w:tcPr>
            <w:tcW w:type="dxa" w:w="1101"/>
            <w:tcMar>
              <w:top w:type="dxa" w:w="60"/>
              <w:left w:type="dxa" w:w="90"/>
              <w:bottom w:type="dxa" w:w="60"/>
              <w:right w:type="dxa" w:w="90"/>
            </w:tcMar>
          </w:tcPr>
          <w:p>
            <w:r>
              <w:rPr>
                <w:b w:val="false"/>
                <w:bCs w:val="false"/>
                <w:sz w:val="18"/>
                <w:szCs w:val="18"/>
              </w:rPr>
              <w:t xml:space="preserve">0.9776</w:t>
            </w:r>
          </w:p>
        </w:tc>
      </w:tr>
    </w:tbl>
    <w:p>
      <w:pPr>
        <w:spacing w:after="140"/>
      </w:pPr>
      <w:r>
        <w:rPr>
          <w:sz w:val="22"/>
          <w:szCs w:val="22"/>
        </w:rPr>
        <w:t xml:space="preserve">A counted floor on the number of model configurations fitted across the project, before folds, is 177: six baseline classifiers, five imbalance strategies, five augmentation configurations, 120 search trials, 20 legacy Optuna trials whose generating code was not retained, nine ablation arms and twelve focal-parameter cells. No reported result was selected on the basis of these searches. The tuned configurations, the legacy trial log and a decision threshold of 0.19 recorded in an earlier artefact are not used for any reported number; the threshold's operational consequence is nonetheless reported in R9 for completeness.</w:t>
      </w:r>
    </w:p>
    <w:p>
      <w:pPr>
        <w:pStyle w:val="Heading1"/>
        <w:spacing w:after="160" w:before="280"/>
      </w:pPr>
      <w:r>
        <w:t xml:space="preserve">M14  Evaluation metrics and decision threshold</w:t>
      </w:r>
    </w:p>
    <w:p>
      <w:pPr>
        <w:spacing w:after="140"/>
      </w:pPr>
      <w:r>
        <w:rPr>
          <w:sz w:val="22"/>
          <w:szCs w:val="22"/>
        </w:rPr>
        <w:t xml:space="preserve">The primary metric is the area under the precision–recall curve (AUC-PR) for the dropout class, chosen because it characterises ranking quality for the minority class without being dominated by the majority class at an 8.8% base rate. Secondary metrics are AUC-ROC, recall, precision, macro F1 and accuracy. Every reported metric is accompanied by the base rate and the absolute number of dropout cases on which it is computed.</w:t>
      </w:r>
    </w:p>
    <w:p>
      <w:pPr>
        <w:spacing w:after="140"/>
      </w:pPr>
      <w:r>
        <w:rPr>
          <w:sz w:val="22"/>
          <w:szCs w:val="22"/>
        </w:rPr>
        <w:t xml:space="preserve">The decision threshold for all reported binary classifications is 0.5, and no threshold optimisation informs any reported result. Because a ranking metric does not by itself describe a decision, R9 translates threshold choice into the two quantities an operational user requires: pupils flagged per hundred and the proportion of departing pupils captured.</w:t>
      </w:r>
    </w:p>
    <w:p>
      <w:pPr>
        <w:pStyle w:val="Heading1"/>
        <w:spacing w:after="160" w:before="280"/>
      </w:pPr>
      <w:r>
        <w:t xml:space="preserve">M15  Fairness audit protocol</w:t>
      </w:r>
    </w:p>
    <w:p>
      <w:pPr>
        <w:spacing w:after="140"/>
      </w:pPr>
      <w:r>
        <w:rPr>
          <w:sz w:val="22"/>
          <w:szCs w:val="22"/>
        </w:rPr>
        <w:t xml:space="preserve">Subgroup performance is assessed on two pre-specified attributes, pupil gender and geographic zone, with school code examined additionally as a descriptive check. Two measures are reported: the Equal Opportunity difference, defined as the maximum between-group gap in true positive rate, and the Equalized Odds difference, defined as the larger of the between-group true positive rate gap and false positive rate gap, both evaluated at the 0.5 decision threshold.</w:t>
      </w:r>
    </w:p>
    <w:p>
      <w:pPr>
        <w:spacing w:after="140"/>
      </w:pPr>
      <w:r>
        <w:rPr>
          <w:sz w:val="22"/>
          <w:szCs w:val="22"/>
        </w:rPr>
        <w:t xml:space="preserve">A difference of 0.10 or below is treated as acceptable. This threshold is fixed before the audit is run and is recorded in the project configuration. Subgroup positive-case counts are reported alongside every difference, because a difference computed on a small number of positive cases is not interpretable; the smallest subgroup examined contains a single dropout case.</w:t>
      </w:r>
    </w:p>
    <w:p>
      <w:pPr>
        <w:pStyle w:val="Heading1"/>
        <w:spacing w:after="160" w:before="280"/>
      </w:pPr>
      <w:r>
        <w:t xml:space="preserve">M16  Statistical analysis</w:t>
      </w:r>
    </w:p>
    <w:p>
      <w:pPr>
        <w:spacing w:after="140"/>
      </w:pPr>
      <w:r>
        <w:rPr>
          <w:sz w:val="22"/>
          <w:szCs w:val="22"/>
        </w:rPr>
        <w:t xml:space="preserve">Arms are compared on paired fold differences. For each seed, the Wilcoxon signed-rank test is applied to the 25 paired fold differences, and Cohen's d is computed from the pooled standard deviation. A 95% confidence interval on the mean paired difference is obtained by percentile bootstrap with 10,000 resamples, implemented in committed code.</w:t>
      </w:r>
    </w:p>
    <w:p>
      <w:pPr>
        <w:spacing w:after="140"/>
      </w:pPr>
      <w:r>
        <w:rPr>
          <w:sz w:val="22"/>
          <w:szCs w:val="22"/>
        </w:rPr>
        <w:t xml:space="preserve">Variance is reported at two levels and both appear in every results table: the between-seed standard deviation of seed means, and the mean within-seed standard deviation across folds. The previous revision reported only the second and described it as variance across 25 folds, which reads as 25 independent observations but is five repeats of a single partitioning scheme at one seed.</w:t>
      </w:r>
    </w:p>
    <w:p>
      <w:pPr>
        <w:spacing w:after="140"/>
      </w:pPr>
      <w:r>
        <w:rPr>
          <w:sz w:val="22"/>
          <w:szCs w:val="22"/>
        </w:rPr>
        <w:t xml:space="preserve">The minimum detectable effect is computed for the paired design, using the standard deviation of the paired fold differences rather than the standard deviations of the individual arms. Because fold scores for the two arms rise and fall together, the paired differences vary far less than either arm, and an unpaired calculation overstates the minimum detectable effect by roughly an order of magnitude. The previous revision used the unpaired form. Both values are reported in R3 so that the correction is visible.</w:t>
      </w:r>
    </w:p>
    <w:p>
      <w:pPr>
        <w:pStyle w:val="Heading1"/>
        <w:spacing w:after="160" w:before="280"/>
      </w:pPr>
      <w:r>
        <w:t xml:space="preserve">M17  Explainability analysis</w:t>
      </w:r>
    </w:p>
    <w:p>
      <w:pPr>
        <w:spacing w:after="140"/>
      </w:pPr>
      <w:r>
        <w:rPr>
          <w:sz w:val="22"/>
          <w:szCs w:val="22"/>
        </w:rPr>
        <w:t xml:space="preserve">Feature attribution uses TreeSHAP, computed on a cross-validation held-out fold of the training partition rather than on the frozen test partition, which is scored once and only in the final evaluation. Attribution is reported in three forms: mean absolute SHAP value for magnitude; the rank correlation between each feature's values and its SHAP values for direction; and totals aggregated to feature families across the entire feature set rather than a truncated ranking.</w:t>
      </w:r>
    </w:p>
    <w:p>
      <w:pPr>
        <w:spacing w:after="140"/>
      </w:pPr>
      <w:r>
        <w:rPr>
          <w:sz w:val="22"/>
          <w:szCs w:val="22"/>
        </w:rPr>
        <w:t xml:space="preserve">The direction measure is a correction. The previous revision reported mean absolute values only and so could not state whether a feature raised or lowered predicted risk. Averaging signed SHAP values is not an adequate substitute, since positive and negative contributions cancel across pupils; the rank correlation between feature value and attribution is reported instead.</w:t>
      </w:r>
    </w:p>
    <w:p>
      <w:pPr>
        <w:spacing w:after="140"/>
      </w:pPr>
      <w:r>
        <w:rPr>
          <w:sz w:val="22"/>
          <w:szCs w:val="22"/>
        </w:rPr>
        <w:t xml:space="preserve">Every attribution artefact is labelled with the model that produced it and the number of features in that model. Attributions from models with different feature counts are not compared numerically. The number of positive cases on which minority-class attribution rests is reported alongside it.</w:t>
      </w:r>
    </w:p>
    <w:p>
      <w:pPr>
        <w:pStyle w:val="Heading1"/>
        <w:spacing w:after="160" w:before="280"/>
      </w:pPr>
      <w:r>
        <w:t xml:space="preserve">M18  Inference boundary</w:t>
      </w:r>
    </w:p>
    <w:p>
      <w:pPr>
        <w:spacing w:after="140"/>
      </w:pPr>
      <w:r>
        <w:rPr>
          <w:sz w:val="22"/>
          <w:szCs w:val="22"/>
        </w:rPr>
        <w:t xml:space="preserve">Findings are scoped to pupils in Primary 4 through Junior High School Form 2 at four basic schools in the Kumasi Metropolitan area, Ashanti Region, Ghana, during the 2024/25 academic year, with 481, 329, 92 and 79 records per school. No claim of generalisability to the Kumasi Metropolitan Assembly, to Ghana, or to other educational systems is made. The four schools differ substantially in dropout rate, and a leave-one-school-out analysis (R11) indicates that ranking performance transfers across them while the calibration of the decision threshold does not.</w:t>
      </w:r>
    </w:p>
    <w:p>
      <w:pPr>
        <w:pStyle w:val="Heading1"/>
        <w:spacing w:after="160" w:before="280"/>
      </w:pPr>
      <w:r>
        <w:t xml:space="preserve">M19  Computational environment</w:t>
      </w:r>
    </w:p>
    <w:p>
      <w:pPr>
        <w:spacing w:after="80" w:before="160"/>
      </w:pPr>
      <w:r>
        <w:rPr>
          <w:b/>
          <w:bCs/>
          <w:sz w:val="20"/>
          <w:szCs w:val="20"/>
        </w:rPr>
        <w:t xml:space="preserve">Table M6. Software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1950"/>
        <w:gridCol w:w="2730"/>
        <w:gridCol w:w="1950"/>
      </w:tblGrid>
      <w:tr>
        <w:trPr>
          <w:tblHeader/>
        </w:trPr>
        <w:tc>
          <w:tcPr>
            <w:tcW w:type="dxa" w:w="2730"/>
            <w:shd w:fill="E8EDF2" w:val="clear"/>
            <w:tcMar>
              <w:top w:type="dxa" w:w="60"/>
              <w:left w:type="dxa" w:w="90"/>
              <w:bottom w:type="dxa" w:w="60"/>
              <w:right w:type="dxa" w:w="90"/>
            </w:tcMar>
          </w:tcPr>
          <w:p>
            <w:r>
              <w:rPr>
                <w:b/>
                <w:bCs/>
                <w:sz w:val="18"/>
                <w:szCs w:val="18"/>
              </w:rPr>
              <w:t xml:space="preserve">Package</w:t>
            </w:r>
          </w:p>
        </w:tc>
        <w:tc>
          <w:tcPr>
            <w:tcW w:type="dxa" w:w="1950"/>
            <w:shd w:fill="E8EDF2" w:val="clear"/>
            <w:tcMar>
              <w:top w:type="dxa" w:w="60"/>
              <w:left w:type="dxa" w:w="90"/>
              <w:bottom w:type="dxa" w:w="60"/>
              <w:right w:type="dxa" w:w="90"/>
            </w:tcMar>
          </w:tcPr>
          <w:p>
            <w:r>
              <w:rPr>
                <w:b/>
                <w:bCs/>
                <w:sz w:val="18"/>
                <w:szCs w:val="18"/>
              </w:rPr>
              <w:t xml:space="preserve">Version</w:t>
            </w:r>
          </w:p>
        </w:tc>
        <w:tc>
          <w:tcPr>
            <w:tcW w:type="dxa" w:w="2730"/>
            <w:shd w:fill="E8EDF2" w:val="clear"/>
            <w:tcMar>
              <w:top w:type="dxa" w:w="60"/>
              <w:left w:type="dxa" w:w="90"/>
              <w:bottom w:type="dxa" w:w="60"/>
              <w:right w:type="dxa" w:w="90"/>
            </w:tcMar>
          </w:tcPr>
          <w:p>
            <w:r>
              <w:rPr>
                <w:b/>
                <w:bCs/>
                <w:sz w:val="18"/>
                <w:szCs w:val="18"/>
              </w:rPr>
              <w:t xml:space="preserve">Package</w:t>
            </w:r>
          </w:p>
        </w:tc>
        <w:tc>
          <w:tcPr>
            <w:tcW w:type="dxa" w:w="1950"/>
            <w:shd w:fill="E8EDF2" w:val="clear"/>
            <w:tcMar>
              <w:top w:type="dxa" w:w="60"/>
              <w:left w:type="dxa" w:w="90"/>
              <w:bottom w:type="dxa" w:w="60"/>
              <w:right w:type="dxa" w:w="90"/>
            </w:tcMar>
          </w:tcPr>
          <w:p>
            <w:r>
              <w:rPr>
                <w:b/>
                <w:bCs/>
                <w:sz w:val="18"/>
                <w:szCs w:val="18"/>
              </w:rPr>
              <w:t xml:space="preserve">Version</w:t>
            </w:r>
          </w:p>
        </w:tc>
      </w:tr>
      <w:tr>
        <w:tc>
          <w:tcPr>
            <w:tcW w:type="dxa" w:w="2730"/>
            <w:tcMar>
              <w:top w:type="dxa" w:w="60"/>
              <w:left w:type="dxa" w:w="90"/>
              <w:bottom w:type="dxa" w:w="60"/>
              <w:right w:type="dxa" w:w="90"/>
            </w:tcMar>
          </w:tcPr>
          <w:p>
            <w:r>
              <w:rPr>
                <w:b w:val="false"/>
                <w:bCs w:val="false"/>
                <w:sz w:val="18"/>
                <w:szCs w:val="18"/>
              </w:rPr>
              <w:t xml:space="preserve">Python</w:t>
            </w:r>
          </w:p>
        </w:tc>
        <w:tc>
          <w:tcPr>
            <w:tcW w:type="dxa" w:w="1950"/>
            <w:tcMar>
              <w:top w:type="dxa" w:w="60"/>
              <w:left w:type="dxa" w:w="90"/>
              <w:bottom w:type="dxa" w:w="60"/>
              <w:right w:type="dxa" w:w="90"/>
            </w:tcMar>
          </w:tcPr>
          <w:p>
            <w:r>
              <w:rPr>
                <w:b w:val="false"/>
                <w:bCs w:val="false"/>
                <w:sz w:val="18"/>
                <w:szCs w:val="18"/>
              </w:rPr>
              <w:t xml:space="preserve">3.13.15</w:t>
            </w:r>
          </w:p>
        </w:tc>
        <w:tc>
          <w:tcPr>
            <w:tcW w:type="dxa" w:w="2730"/>
            <w:tcMar>
              <w:top w:type="dxa" w:w="60"/>
              <w:left w:type="dxa" w:w="90"/>
              <w:bottom w:type="dxa" w:w="60"/>
              <w:right w:type="dxa" w:w="90"/>
            </w:tcMar>
          </w:tcPr>
          <w:p>
            <w:r>
              <w:rPr>
                <w:b w:val="false"/>
                <w:bCs w:val="false"/>
                <w:sz w:val="18"/>
                <w:szCs w:val="18"/>
              </w:rPr>
              <w:t xml:space="preserve">scikit-learn</w:t>
            </w:r>
          </w:p>
        </w:tc>
        <w:tc>
          <w:tcPr>
            <w:tcW w:type="dxa" w:w="1950"/>
            <w:tcMar>
              <w:top w:type="dxa" w:w="60"/>
              <w:left w:type="dxa" w:w="90"/>
              <w:bottom w:type="dxa" w:w="60"/>
              <w:right w:type="dxa" w:w="90"/>
            </w:tcMar>
          </w:tcPr>
          <w:p>
            <w:r>
              <w:rPr>
                <w:b w:val="false"/>
                <w:bCs w:val="false"/>
                <w:sz w:val="18"/>
                <w:szCs w:val="18"/>
              </w:rPr>
              <w:t xml:space="preserve">1.6.1</w:t>
            </w:r>
          </w:p>
        </w:tc>
      </w:tr>
      <w:tr>
        <w:tc>
          <w:tcPr>
            <w:tcW w:type="dxa" w:w="2730"/>
            <w:tcMar>
              <w:top w:type="dxa" w:w="60"/>
              <w:left w:type="dxa" w:w="90"/>
              <w:bottom w:type="dxa" w:w="60"/>
              <w:right w:type="dxa" w:w="90"/>
            </w:tcMar>
          </w:tcPr>
          <w:p>
            <w:r>
              <w:rPr>
                <w:b w:val="false"/>
                <w:bCs w:val="false"/>
                <w:sz w:val="18"/>
                <w:szCs w:val="18"/>
              </w:rPr>
              <w:t xml:space="preserve">LightGBM</w:t>
            </w:r>
          </w:p>
        </w:tc>
        <w:tc>
          <w:tcPr>
            <w:tcW w:type="dxa" w:w="1950"/>
            <w:tcMar>
              <w:top w:type="dxa" w:w="60"/>
              <w:left w:type="dxa" w:w="90"/>
              <w:bottom w:type="dxa" w:w="60"/>
              <w:right w:type="dxa" w:w="90"/>
            </w:tcMar>
          </w:tcPr>
          <w:p>
            <w:r>
              <w:rPr>
                <w:b w:val="false"/>
                <w:bCs w:val="false"/>
                <w:sz w:val="18"/>
                <w:szCs w:val="18"/>
              </w:rPr>
              <w:t xml:space="preserve">4.6.0</w:t>
            </w:r>
          </w:p>
        </w:tc>
        <w:tc>
          <w:tcPr>
            <w:tcW w:type="dxa" w:w="2730"/>
            <w:tcMar>
              <w:top w:type="dxa" w:w="60"/>
              <w:left w:type="dxa" w:w="90"/>
              <w:bottom w:type="dxa" w:w="60"/>
              <w:right w:type="dxa" w:w="90"/>
            </w:tcMar>
          </w:tcPr>
          <w:p>
            <w:r>
              <w:rPr>
                <w:b w:val="false"/>
                <w:bCs w:val="false"/>
                <w:sz w:val="18"/>
                <w:szCs w:val="18"/>
              </w:rPr>
              <w:t xml:space="preserve">SciPy</w:t>
            </w:r>
          </w:p>
        </w:tc>
        <w:tc>
          <w:tcPr>
            <w:tcW w:type="dxa" w:w="1950"/>
            <w:tcMar>
              <w:top w:type="dxa" w:w="60"/>
              <w:left w:type="dxa" w:w="90"/>
              <w:bottom w:type="dxa" w:w="60"/>
              <w:right w:type="dxa" w:w="90"/>
            </w:tcMar>
          </w:tcPr>
          <w:p>
            <w:r>
              <w:rPr>
                <w:b w:val="false"/>
                <w:bCs w:val="false"/>
                <w:sz w:val="18"/>
                <w:szCs w:val="18"/>
              </w:rPr>
              <w:t xml:space="preserve">1.16.3</w:t>
            </w:r>
          </w:p>
        </w:tc>
      </w:tr>
      <w:tr>
        <w:tc>
          <w:tcPr>
            <w:tcW w:type="dxa" w:w="2730"/>
            <w:tcMar>
              <w:top w:type="dxa" w:w="60"/>
              <w:left w:type="dxa" w:w="90"/>
              <w:bottom w:type="dxa" w:w="60"/>
              <w:right w:type="dxa" w:w="90"/>
            </w:tcMar>
          </w:tcPr>
          <w:p>
            <w:r>
              <w:rPr>
                <w:b w:val="false"/>
                <w:bCs w:val="false"/>
                <w:sz w:val="18"/>
                <w:szCs w:val="18"/>
              </w:rPr>
              <w:t xml:space="preserve">XGBoost</w:t>
            </w:r>
          </w:p>
        </w:tc>
        <w:tc>
          <w:tcPr>
            <w:tcW w:type="dxa" w:w="1950"/>
            <w:tcMar>
              <w:top w:type="dxa" w:w="60"/>
              <w:left w:type="dxa" w:w="90"/>
              <w:bottom w:type="dxa" w:w="60"/>
              <w:right w:type="dxa" w:w="90"/>
            </w:tcMar>
          </w:tcPr>
          <w:p>
            <w:r>
              <w:rPr>
                <w:b w:val="false"/>
                <w:bCs w:val="false"/>
                <w:sz w:val="18"/>
                <w:szCs w:val="18"/>
              </w:rPr>
              <w:t xml:space="preserve">3.4.1</w:t>
            </w:r>
          </w:p>
        </w:tc>
        <w:tc>
          <w:tcPr>
            <w:tcW w:type="dxa" w:w="2730"/>
            <w:tcMar>
              <w:top w:type="dxa" w:w="60"/>
              <w:left w:type="dxa" w:w="90"/>
              <w:bottom w:type="dxa" w:w="60"/>
              <w:right w:type="dxa" w:w="90"/>
            </w:tcMar>
          </w:tcPr>
          <w:p>
            <w:r>
              <w:rPr>
                <w:b w:val="false"/>
                <w:bCs w:val="false"/>
                <w:sz w:val="18"/>
                <w:szCs w:val="18"/>
              </w:rPr>
              <w:t xml:space="preserve">NumPy</w:t>
            </w:r>
          </w:p>
        </w:tc>
        <w:tc>
          <w:tcPr>
            <w:tcW w:type="dxa" w:w="1950"/>
            <w:tcMar>
              <w:top w:type="dxa" w:w="60"/>
              <w:left w:type="dxa" w:w="90"/>
              <w:bottom w:type="dxa" w:w="60"/>
              <w:right w:type="dxa" w:w="90"/>
            </w:tcMar>
          </w:tcPr>
          <w:p>
            <w:r>
              <w:rPr>
                <w:b w:val="false"/>
                <w:bCs w:val="false"/>
                <w:sz w:val="18"/>
                <w:szCs w:val="18"/>
              </w:rPr>
              <w:t xml:space="preserve">2.1.3</w:t>
            </w:r>
          </w:p>
        </w:tc>
      </w:tr>
      <w:tr>
        <w:tc>
          <w:tcPr>
            <w:tcW w:type="dxa" w:w="2730"/>
            <w:tcMar>
              <w:top w:type="dxa" w:w="60"/>
              <w:left w:type="dxa" w:w="90"/>
              <w:bottom w:type="dxa" w:w="60"/>
              <w:right w:type="dxa" w:w="90"/>
            </w:tcMar>
          </w:tcPr>
          <w:p>
            <w:r>
              <w:rPr>
                <w:b w:val="false"/>
                <w:bCs w:val="false"/>
                <w:sz w:val="18"/>
                <w:szCs w:val="18"/>
              </w:rPr>
              <w:t xml:space="preserve">CatBoost</w:t>
            </w:r>
          </w:p>
        </w:tc>
        <w:tc>
          <w:tcPr>
            <w:tcW w:type="dxa" w:w="1950"/>
            <w:tcMar>
              <w:top w:type="dxa" w:w="60"/>
              <w:left w:type="dxa" w:w="90"/>
              <w:bottom w:type="dxa" w:w="60"/>
              <w:right w:type="dxa" w:w="90"/>
            </w:tcMar>
          </w:tcPr>
          <w:p>
            <w:r>
              <w:rPr>
                <w:b w:val="false"/>
                <w:bCs w:val="false"/>
                <w:sz w:val="18"/>
                <w:szCs w:val="18"/>
              </w:rPr>
              <w:t xml:space="preserve">1.2.10</w:t>
            </w:r>
          </w:p>
        </w:tc>
        <w:tc>
          <w:tcPr>
            <w:tcW w:type="dxa" w:w="2730"/>
            <w:tcMar>
              <w:top w:type="dxa" w:w="60"/>
              <w:left w:type="dxa" w:w="90"/>
              <w:bottom w:type="dxa" w:w="60"/>
              <w:right w:type="dxa" w:w="90"/>
            </w:tcMar>
          </w:tcPr>
          <w:p>
            <w:r>
              <w:rPr>
                <w:b w:val="false"/>
                <w:bCs w:val="false"/>
                <w:sz w:val="18"/>
                <w:szCs w:val="18"/>
              </w:rPr>
              <w:t xml:space="preserve">pandas</w:t>
            </w:r>
          </w:p>
        </w:tc>
        <w:tc>
          <w:tcPr>
            <w:tcW w:type="dxa" w:w="1950"/>
            <w:tcMar>
              <w:top w:type="dxa" w:w="60"/>
              <w:left w:type="dxa" w:w="90"/>
              <w:bottom w:type="dxa" w:w="60"/>
              <w:right w:type="dxa" w:w="90"/>
            </w:tcMar>
          </w:tcPr>
          <w:p>
            <w:r>
              <w:rPr>
                <w:b w:val="false"/>
                <w:bCs w:val="false"/>
                <w:sz w:val="18"/>
                <w:szCs w:val="18"/>
              </w:rPr>
              <w:t xml:space="preserve">2.2.3</w:t>
            </w:r>
          </w:p>
        </w:tc>
      </w:tr>
      <w:tr>
        <w:tc>
          <w:tcPr>
            <w:tcW w:type="dxa" w:w="2730"/>
            <w:tcMar>
              <w:top w:type="dxa" w:w="60"/>
              <w:left w:type="dxa" w:w="90"/>
              <w:bottom w:type="dxa" w:w="60"/>
              <w:right w:type="dxa" w:w="90"/>
            </w:tcMar>
          </w:tcPr>
          <w:p>
            <w:r>
              <w:rPr>
                <w:b w:val="false"/>
                <w:bCs w:val="false"/>
                <w:sz w:val="18"/>
                <w:szCs w:val="18"/>
              </w:rPr>
              <w:t xml:space="preserve">SHAP</w:t>
            </w:r>
          </w:p>
        </w:tc>
        <w:tc>
          <w:tcPr>
            <w:tcW w:type="dxa" w:w="1950"/>
            <w:tcMar>
              <w:top w:type="dxa" w:w="60"/>
              <w:left w:type="dxa" w:w="90"/>
              <w:bottom w:type="dxa" w:w="60"/>
              <w:right w:type="dxa" w:w="90"/>
            </w:tcMar>
          </w:tcPr>
          <w:p>
            <w:r>
              <w:rPr>
                <w:b w:val="false"/>
                <w:bCs w:val="false"/>
                <w:sz w:val="18"/>
                <w:szCs w:val="18"/>
              </w:rPr>
              <w:t xml:space="preserve">0.52.0</w:t>
            </w:r>
          </w:p>
        </w:tc>
        <w:tc>
          <w:tcPr>
            <w:tcW w:type="dxa" w:w="2730"/>
            <w:tcMar>
              <w:top w:type="dxa" w:w="60"/>
              <w:left w:type="dxa" w:w="90"/>
              <w:bottom w:type="dxa" w:w="60"/>
              <w:right w:type="dxa" w:w="90"/>
            </w:tcMar>
          </w:tcPr>
          <w:p>
            <w:r>
              <w:rPr>
                <w:b w:val="false"/>
                <w:bCs w:val="false"/>
                <w:sz w:val="18"/>
                <w:szCs w:val="18"/>
              </w:rPr>
              <w:t xml:space="preserve">matplotlib</w:t>
            </w:r>
          </w:p>
        </w:tc>
        <w:tc>
          <w:tcPr>
            <w:tcW w:type="dxa" w:w="1950"/>
            <w:tcMar>
              <w:top w:type="dxa" w:w="60"/>
              <w:left w:type="dxa" w:w="90"/>
              <w:bottom w:type="dxa" w:w="60"/>
              <w:right w:type="dxa" w:w="90"/>
            </w:tcMar>
          </w:tcPr>
          <w:p>
            <w:r>
              <w:rPr>
                <w:b w:val="false"/>
                <w:bCs w:val="false"/>
                <w:sz w:val="18"/>
                <w:szCs w:val="18"/>
              </w:rPr>
              <w:t xml:space="preserve">3.10.0</w:t>
            </w:r>
          </w:p>
        </w:tc>
      </w:tr>
      <w:tr>
        <w:tc>
          <w:tcPr>
            <w:tcW w:type="dxa" w:w="2730"/>
            <w:tcMar>
              <w:top w:type="dxa" w:w="60"/>
              <w:left w:type="dxa" w:w="90"/>
              <w:bottom w:type="dxa" w:w="60"/>
              <w:right w:type="dxa" w:w="90"/>
            </w:tcMar>
          </w:tcPr>
          <w:p>
            <w:r>
              <w:rPr>
                <w:b w:val="false"/>
                <w:bCs w:val="false"/>
                <w:sz w:val="18"/>
                <w:szCs w:val="18"/>
              </w:rPr>
              <w:t xml:space="preserve">imbalanced-learn</w:t>
            </w:r>
          </w:p>
        </w:tc>
        <w:tc>
          <w:tcPr>
            <w:tcW w:type="dxa" w:w="1950"/>
            <w:tcMar>
              <w:top w:type="dxa" w:w="60"/>
              <w:left w:type="dxa" w:w="90"/>
              <w:bottom w:type="dxa" w:w="60"/>
              <w:right w:type="dxa" w:w="90"/>
            </w:tcMar>
          </w:tcPr>
          <w:p>
            <w:r>
              <w:rPr>
                <w:b w:val="false"/>
                <w:bCs w:val="false"/>
                <w:sz w:val="18"/>
                <w:szCs w:val="18"/>
              </w:rPr>
              <w:t xml:space="preserve">0.14.2</w:t>
            </w:r>
          </w:p>
        </w:tc>
        <w:tc>
          <w:tcPr>
            <w:tcW w:type="dxa" w:w="2730"/>
            <w:tcMar>
              <w:top w:type="dxa" w:w="60"/>
              <w:left w:type="dxa" w:w="90"/>
              <w:bottom w:type="dxa" w:w="60"/>
              <w:right w:type="dxa" w:w="90"/>
            </w:tcMar>
          </w:tcPr>
          <w:p>
            <w:r>
              <w:rPr>
                <w:b w:val="false"/>
                <w:bCs w:val="false"/>
                <w:sz w:val="18"/>
                <w:szCs w:val="18"/>
              </w:rPr>
              <w:t xml:space="preserve">seaborn</w:t>
            </w:r>
          </w:p>
        </w:tc>
        <w:tc>
          <w:tcPr>
            <w:tcW w:type="dxa" w:w="1950"/>
            <w:tcMar>
              <w:top w:type="dxa" w:w="60"/>
              <w:left w:type="dxa" w:w="90"/>
              <w:bottom w:type="dxa" w:w="60"/>
              <w:right w:type="dxa" w:w="90"/>
            </w:tcMar>
          </w:tcPr>
          <w:p>
            <w:r>
              <w:rPr>
                <w:b w:val="false"/>
                <w:bCs w:val="false"/>
                <w:sz w:val="18"/>
                <w:szCs w:val="18"/>
              </w:rPr>
              <w:t xml:space="preserve">0.13.2</w:t>
            </w:r>
          </w:p>
        </w:tc>
      </w:tr>
    </w:tbl>
    <w:p>
      <w:pPr>
        <w:spacing w:after="160"/>
      </w:pPr>
      <w:r>
        <w:rPr>
          <w:i/>
          <w:iCs/>
          <w:sz w:val="18"/>
          <w:szCs w:val="18"/>
        </w:rPr>
        <w:t xml:space="preserve">Reproduced verbatim from results/notebook08_final/…/environment_versions.csv, itself derived from the pip freeze output of the environment that produced every reported figure. The dependency specification files are reconciled against the same output.</w:t>
      </w:r>
    </w:p>
    <w:p>
      <w:pPr>
        <w:pStyle w:val="Heading1"/>
        <w:spacing w:after="160" w:before="280"/>
      </w:pPr>
      <w:r>
        <w:t xml:space="preserve">M20  Reproducibility</w:t>
      </w:r>
    </w:p>
    <w:p>
      <w:pPr>
        <w:spacing w:after="140"/>
      </w:pPr>
      <w:r>
        <w:rPr>
          <w:sz w:val="22"/>
          <w:szCs w:val="22"/>
        </w:rPr>
        <w:t xml:space="preserve">All analysis code is organised as three importable modules — a configuration module holding every path, column name and protocol constant; a loss module holding the focal objective; and a pipeline module holding the in-fold preprocessing, the arm definitions and the comparison machinery — together with eleven notebooks that import them. No quantity is defined in more than one place. The previous revision defined the focal objective in three locations and produced two attribution artefacts that disagreed without indicating which model generated each.</w:t>
      </w:r>
    </w:p>
    <w:p>
      <w:pPr>
        <w:spacing w:after="140"/>
      </w:pPr>
      <w:r>
        <w:rPr>
          <w:sz w:val="22"/>
          <w:szCs w:val="22"/>
        </w:rPr>
        <w:t xml:space="preserve">Paths resolve relative to the project root, so the analysis runs from a clean copy of the repository with the raw workbook placed in the designated directory. Every notebook writes to a timestamped run directory containing a manifest that records the configuration, the environment and the feature set in use, and all such directories are committed.</w:t>
      </w:r>
    </w:p>
    <w:p>
      <w:pPr>
        <w:pStyle w:val="Heading1"/>
        <w:spacing w:after="160" w:before="280"/>
      </w:pPr>
      <w:r>
        <w:t xml:space="preserve">M21  Run provenance</w:t>
      </w:r>
    </w:p>
    <w:p>
      <w:pPr>
        <w:spacing w:after="140"/>
      </w:pPr>
      <w:r>
        <w:rPr>
          <w:sz w:val="22"/>
          <w:szCs w:val="22"/>
        </w:rPr>
        <w:t xml:space="preserve">All results reported in this paper are generated by run 20260922T232734Z_records. The configuration was frozen under the identifier R02-freeze-2026-09-22-1500 before the test partition was scored, and the manifest records a single test-scoring event at 2026-09-22T23:33:23Z. The run manifest, per-fold scores, per-instance predictions, environment capture and every derived table are committed under results/notebook08_final/20260922T232734Z_records/.</w:t>
      </w:r>
    </w:p>
    <w:p>
      <w:pPr>
        <w:spacing w:after="140"/>
      </w:pPr>
      <w:r>
        <w:rPr>
          <w:sz w:val="22"/>
          <w:szCs w:val="22"/>
        </w:rPr>
        <w:t xml:space="preserve">The test partition was scored once. This is a change of protocol rather than a repair of the earlier result: in the previous revision the same partition was scored across six separate notebooks, and no re-analysis can alter the history of that partition. The earlier figures and the present ones are therefore not directly comparable, and this is stated in the limitations.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2026-09-22T23:51:55.553Z</dcterms:created>
  <dcterms:modified xsi:type="dcterms:W3CDTF">2026-09-22T23:51:55.561Z</dcterms:modified>
</cp:coreProperties>
</file>

<file path=docProps/custom.xml><?xml version="1.0" encoding="utf-8"?>
<Properties xmlns="http://schemas.openxmlformats.org/officeDocument/2006/custom-properties" xmlns:vt="http://schemas.openxmlformats.org/officeDocument/2006/docPropsVTypes"/>
</file>