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Predicting School Dropout in Ghanaian Basic Schools</w:t>
      </w:r>
    </w:p>
    <w:p>
      <w:pPr>
        <w:spacing w:after="60"/>
        <w:jc w:val="center"/>
      </w:pPr>
      <w:r>
        <w:rPr>
          <w:b/>
          <w:bCs/>
          <w:sz w:val="26"/>
          <w:szCs w:val="26"/>
        </w:rPr>
        <w:t xml:space="preserve">DISCUSSION AND LIMITATIONS  (Revision R02)</w:t>
      </w:r>
    </w:p>
    <w:p>
      <w:pPr>
        <w:spacing w:after="240"/>
        <w:jc w:val="center"/>
      </w:pPr>
      <w:r>
        <w:rPr>
          <w:i/>
          <w:iCs/>
          <w:sz w:val="20"/>
          <w:szCs w:val="20"/>
        </w:rPr>
        <w:t xml:space="preserve">Group 5  ·  Department of Computer Science, KNUST</w:t>
      </w:r>
    </w:p>
    <w:p>
      <w:pPr>
        <w:shd w:fill="FFF3CD" w:val="clear"/>
        <w:spacing w:after="140"/>
      </w:pPr>
      <w:r>
        <w:rPr>
          <w:b/>
          <w:bCs/>
          <w:sz w:val="20"/>
          <w:szCs w:val="20"/>
        </w:rPr>
        <w:t xml:space="preserve">DRAFT NOTE — remove before submission. Passages marked [VERIFY] make claims about published work that must be checked against the primary sources before this document is submitted. Do not cite any source on the strength of this draft alone.</w:t>
      </w:r>
    </w:p>
    <w:p>
      <w:pPr>
        <w:pStyle w:val="Heading1"/>
        <w:spacing w:after="160" w:before="280"/>
      </w:pPr>
      <w:r>
        <w:t xml:space="preserve">D1  Principal findings</w:t>
      </w:r>
    </w:p>
    <w:p>
      <w:pPr>
        <w:spacing w:after="140"/>
      </w:pPr>
      <w:r>
        <w:rPr>
          <w:sz w:val="22"/>
          <w:szCs w:val="22"/>
        </w:rPr>
        <w:t xml:space="preserve">Three findings emerge, and the order in which they are presented reflects their importance rather than the order of the analysis.</w:t>
      </w:r>
    </w:p>
    <w:p>
      <w:pPr>
        <w:spacing w:after="140"/>
      </w:pPr>
      <w:r>
        <w:rPr>
          <w:sz w:val="22"/>
          <w:szCs w:val="22"/>
        </w:rPr>
        <w:t xml:space="preserve">First, substituting focal loss for binary cross-entropy in a gradient-boosting classifier produced a small but highly reliable reduction in minority-class ranking performance on this dataset: a mean difference of −0.0033 AUC-PR, with cross-entropy favoured in all ten seeds and a bootstrap confidence interval excluding zero. The disadvantage increased monotonically with the focusing exponent and vanished when the focusing mechanism was disabled, which locates the effect in the focusing mechanism itself rather than in the class-weighting term.</w:t>
      </w:r>
    </w:p>
    <w:p>
      <w:pPr>
        <w:spacing w:after="140"/>
      </w:pPr>
      <w:r>
        <w:rPr>
          <w:sz w:val="22"/>
          <w:szCs w:val="22"/>
        </w:rPr>
        <w:t xml:space="preserve">Second, the mechanism nonetheless behaved exactly as its designers intended. Among the hardest dropout instances, focal loss raised the predicted probability in 99.3% of evaluations. The aggregate disadvantage arises because those instances constitute under 1% of the data, while the ranking metric is dominated by a large majority of easy instances whose ordering focal loss slightly disturbs. The finding is therefore about the interaction between the mechanism and a highly separable dataset, not about the mechanism in general.</w:t>
      </w:r>
    </w:p>
    <w:p>
      <w:pPr>
        <w:spacing w:after="140"/>
      </w:pPr>
      <w:r>
        <w:rPr>
          <w:sz w:val="22"/>
          <w:szCs w:val="22"/>
        </w:rPr>
        <w:t xml:space="preserve">Third, and most consequentially for how the first two should be read, no arm of the comparison changed a single decision. All nine experimental arms produced an identical confusion matrix on the held-out partition: sixteen of seventeen dropout cases identified, one missed, no false positives. At this level of separability the testbed could not have detected an operationally meaningful improvement had one existed.</w:t>
      </w:r>
    </w:p>
    <w:p>
      <w:pPr>
        <w:pStyle w:val="Heading1"/>
        <w:spacing w:after="160" w:before="280"/>
      </w:pPr>
      <w:r>
        <w:t xml:space="preserve">D2  Why the intervention did not help here</w:t>
      </w:r>
    </w:p>
    <w:p>
      <w:pPr>
        <w:spacing w:after="140"/>
      </w:pPr>
      <w:r>
        <w:rPr>
          <w:sz w:val="22"/>
          <w:szCs w:val="22"/>
        </w:rPr>
        <w:t xml:space="preserve">Focal loss was developed for dense object detection, where the ratio of easy background examples to hard foreground examples runs to several orders of magnitude and where a model trained under unweighted cross-entropy is overwhelmed by the easy majority. Its down-weighting of well-classified examples addresses that specific pathology.</w:t>
      </w:r>
    </w:p>
    <w:p>
      <w:pPr>
        <w:shd w:fill="FFF3CD" w:val="clear"/>
        <w:spacing w:after="140"/>
      </w:pPr>
      <w:r>
        <w:rPr>
          <w:b/>
          <w:bCs/>
          <w:sz w:val="20"/>
          <w:szCs w:val="20"/>
        </w:rPr>
        <w:t xml:space="preserve">[VERIFY] Confirm against Lin et al. (2017) that the motivating imbalance ratio and the nature of the easy-example problem are as characterised above, and cite the specific claim rather than the paper in general.</w:t>
      </w:r>
    </w:p>
    <w:p>
      <w:pPr>
        <w:spacing w:after="140"/>
      </w:pPr>
      <w:r>
        <w:rPr>
          <w:sz w:val="22"/>
          <w:szCs w:val="22"/>
        </w:rPr>
        <w:t xml:space="preserve">The conditions that make that intervention valuable are largely absent here. The class ratio is roughly 1:10, not 1:1000. More importantly, the easy examples in this dataset are not uninformative background: they are pupils whose attendance and examination records place them unambiguously in one class or the other, and the ordering of those pupils is precisely what the ranking metric measures. Down-weighting them therefore discards information the metric rewards, in exchange for improved scores on a very small number of ambiguous cases.</w:t>
      </w:r>
    </w:p>
    <w:p>
      <w:pPr>
        <w:spacing w:after="140"/>
      </w:pPr>
      <w:r>
        <w:rPr>
          <w:sz w:val="22"/>
          <w:szCs w:val="22"/>
        </w:rPr>
        <w:t xml:space="preserve">The instance-level evidence supports this reading directly. Focal loss moved 99.3% of the hardest dropout instances toward their true label and 98.6% of the hardest retained instances toward theirs; on the 38,705 easy instance evaluations, comprising 99.1% of the total, the movement was small and away from the true label. The trade is real, and on this dataset it is net negative.</w:t>
      </w:r>
    </w:p>
    <w:p>
      <w:pPr>
        <w:spacing w:after="140"/>
      </w:pPr>
      <w:r>
        <w:rPr>
          <w:sz w:val="22"/>
          <w:szCs w:val="22"/>
        </w:rPr>
        <w:t xml:space="preserve">This suggests a boundary condition rather than a refutation. Focal loss would plausibly be more useful on a dropout prediction problem where the classes overlap substantially — where the available predictors are weak, noisy, or measured long before the outcome — and less useful as separability increases. That is a testable proposition and is proposed as future work.</w:t>
      </w:r>
    </w:p>
    <w:p>
      <w:pPr>
        <w:pStyle w:val="Heading1"/>
        <w:spacing w:after="160" w:before="280"/>
      </w:pPr>
      <w:r>
        <w:t xml:space="preserve">D3  What actually predicts dropout in this sample</w:t>
      </w:r>
    </w:p>
    <w:p>
      <w:pPr>
        <w:spacing w:after="140"/>
      </w:pPr>
      <w:r>
        <w:rPr>
          <w:sz w:val="22"/>
          <w:szCs w:val="22"/>
        </w:rPr>
        <w:t xml:space="preserve">Attribution analysis assigns 84.3% of total influence to two feature families: academic performance (47.3%) and attendance trajectory (37.0%). The single most influential feature is the attendance risk index, followed by the average and science examination scores. Higher attendance and higher scores lower predicted risk; the attendance risk index, constructed to rise as attendance falls, raises it.</w:t>
      </w:r>
    </w:p>
    <w:p>
      <w:pPr>
        <w:spacing w:after="140"/>
      </w:pPr>
      <w:r>
        <w:rPr>
          <w:sz w:val="22"/>
          <w:szCs w:val="22"/>
        </w:rPr>
        <w:t xml:space="preserve">Two qualifications matter. The attendance risk index ranks first in attribution while adding only −0.0005 AUC-PR when introduced, which indicates redundancy with the term-level attendance columns from which it is derived rather than additional signal. And attribution for the minority class rests on fourteen dropout cases in the explained fold, so the ranking of features within a family should not be over-interpreted.</w:t>
      </w:r>
    </w:p>
    <w:p>
      <w:pPr>
        <w:spacing w:after="140"/>
      </w:pPr>
      <w:r>
        <w:rPr>
          <w:sz w:val="22"/>
          <w:szCs w:val="22"/>
        </w:rPr>
        <w:t xml:space="preserve">The broader observation is that school records alone — attendance and examination results, both already held by every headteacher — reach 0.98 AUC-PR. Adding the full questionnaire instrument, comprising twenty-three items on household circumstances, safety, engagement and parental involvement, raised this by approximately 0.007. For the practical purpose of identifying pupils at risk within these schools, the administrative record was close to sufficient.</w:t>
      </w:r>
    </w:p>
    <w:p>
      <w:pPr>
        <w:pStyle w:val="Heading1"/>
        <w:spacing w:after="160" w:before="280"/>
      </w:pPr>
      <w:r>
        <w:t xml:space="preserve">D4  Measurement, and what the study learned by accident</w:t>
      </w:r>
    </w:p>
    <w:p>
      <w:pPr>
        <w:spacing w:after="140"/>
      </w:pPr>
      <w:r>
        <w:rPr>
          <w:sz w:val="22"/>
          <w:szCs w:val="22"/>
        </w:rPr>
        <w:t xml:space="preserve">The most instructive methodological finding was not planned. Pupils who had left school could not complete the questionnaire, so their responses were supplied by classmates who had previously travelled to school with them, while retained pupils answered for themselves. The informant for a dropout therefore knew the outcome; the informant for a retained pupil did not.</w:t>
      </w:r>
    </w:p>
    <w:p>
      <w:pPr>
        <w:spacing w:after="140"/>
      </w:pPr>
      <w:r>
        <w:rPr>
          <w:sz w:val="22"/>
          <w:szCs w:val="22"/>
        </w:rPr>
        <w:t xml:space="preserve">The signature of this was visible in the data before its cause was identified. Recorded family income of "Low" carried a dropout rate of 59.2% against 2.2% for "Medium", a gradient far steeper than the socioeconomic literature on dropout would lead one to expect. And no dropout record contained a "Don't know" response, while all thirty such responses belonged to retained pupils — a proxy informant supplies an answer where a pupil records uncertainty.</w:t>
      </w:r>
    </w:p>
    <w:p>
      <w:pPr>
        <w:shd w:fill="FFF3CD" w:val="clear"/>
        <w:spacing w:after="140"/>
      </w:pPr>
      <w:r>
        <w:rPr>
          <w:b/>
          <w:bCs/>
          <w:sz w:val="20"/>
          <w:szCs w:val="20"/>
        </w:rPr>
        <w:t xml:space="preserve">[VERIFY] Locate two or three studies reporting income gradients in basic-school dropout in Ghana or comparable settings, and state the typical magnitude, so that the claim "far steeper than the literature would suggest" is supported rather than asserted.</w:t>
      </w:r>
    </w:p>
    <w:p>
      <w:pPr>
        <w:spacing w:after="140"/>
      </w:pPr>
      <w:r>
        <w:rPr>
          <w:sz w:val="22"/>
          <w:szCs w:val="22"/>
        </w:rPr>
        <w:t xml:space="preserve">Restricting the primary analysis to school-record variables, which were obtained identically for both outcome groups, addresses this. The comparison between feature sets (R12) then quantifies what the asymmetry was worth: approximately 0.006 to 0.007 AUC-PR. That figure is modest because the administrative record already approached the attainable ceiling, and it should not be read as the substantive contribution of household circumstances to dropout risk.</w:t>
      </w:r>
    </w:p>
    <w:p>
      <w:pPr>
        <w:spacing w:after="140"/>
      </w:pPr>
      <w:r>
        <w:rPr>
          <w:sz w:val="22"/>
          <w:szCs w:val="22"/>
        </w:rPr>
        <w:t xml:space="preserve">The general lesson is that where outcome status determines who answers a question, the resulting variables may encode the outcome rather than predict it, and no amount of methodological care downstream of data collection will separate the two. Studies of dropout are structurally exposed to this, because the pupils of interest are by definition the ones who are no longer available to be surveyed.</w:t>
      </w:r>
    </w:p>
    <w:p>
      <w:pPr>
        <w:pStyle w:val="Heading1"/>
        <w:spacing w:after="160" w:before="280"/>
      </w:pPr>
      <w:r>
        <w:t xml:space="preserve">D5  Operational implications</w:t>
      </w:r>
    </w:p>
    <w:p>
      <w:pPr>
        <w:spacing w:after="140"/>
      </w:pPr>
      <w:r>
        <w:rPr>
          <w:sz w:val="22"/>
          <w:szCs w:val="22"/>
        </w:rPr>
        <w:t xml:space="preserve">Two results bear directly on whether such a model could be used.</w:t>
      </w:r>
    </w:p>
    <w:p>
      <w:pPr>
        <w:spacing w:after="140"/>
      </w:pPr>
      <w:r>
        <w:rPr>
          <w:sz w:val="22"/>
          <w:szCs w:val="22"/>
        </w:rPr>
        <w:t xml:space="preserve">A headteacher able to review ten pupils per hundred, working down the model's ranking, would review a list containing 96.3% of the pupils who subsequently left. Raising capacity to fifteen per hundred adds 1.8 percentage points. This framing is more informative than any ranking metric, because it states the result in the units in which a school actually operates: staff time.</w:t>
      </w:r>
    </w:p>
    <w:p>
      <w:pPr>
        <w:spacing w:after="140"/>
      </w:pPr>
      <w:r>
        <w:rPr>
          <w:sz w:val="22"/>
          <w:szCs w:val="22"/>
        </w:rPr>
        <w:t xml:space="preserve">Calibration, however, does not transfer across schools while ranking does. With an entire school withheld from training, AUC-PR remained between 0.85 and 1.00, but at the fixed 0.5 threshold recall on the withheld SHI fell to 0.263 despite an AUC-PR of 0.933. SHI has the highest dropout rate in the sample at 20.7%, and a threshold calibrated on schools with lower base rates is too conservative there. A model deployed in an unseen school would therefore rank pupils usefully but would require local threshold calibration before its outputs could be acted upon — and a school that omitted that step would systematically under-identify pupils at precisely the sites where dropout is most common.</w:t>
      </w:r>
    </w:p>
    <w:p>
      <w:pPr>
        <w:spacing w:after="140"/>
      </w:pPr>
      <w:r>
        <w:rPr>
          <w:sz w:val="22"/>
          <w:szCs w:val="22"/>
        </w:rPr>
        <w:t xml:space="preserve">Notably this is the only setting in the study where focal loss outperformed cross-entropy, improving recall on SHI from 0.263 to 0.316, which is consistent with the instance-level evidence: the advantage appears where cases are genuinely hard.</w:t>
      </w:r>
    </w:p>
    <w:p>
      <w:pPr>
        <w:pStyle w:val="Heading1"/>
        <w:spacing w:after="160" w:before="280"/>
      </w:pPr>
      <w:r>
        <w:t xml:space="preserve">D6  Theoretical interpretation</w:t>
      </w:r>
    </w:p>
    <w:p>
      <w:pPr>
        <w:spacing w:after="140"/>
      </w:pPr>
      <w:r>
        <w:rPr>
          <w:sz w:val="22"/>
          <w:szCs w:val="22"/>
        </w:rPr>
        <w:t xml:space="preserve">The theoretical framing of this study requires revision, and the reason is empirical. The attribution analysis assigns 84.3% of influence to academic performance and attendance trajectory, with household economic variables absent from the primary model by design and contributing only marginally when reintroduced. A framework selected to explain the results must be able to accommodate that pattern.</w:t>
      </w:r>
    </w:p>
    <w:p>
      <w:pPr>
        <w:pStyle w:val="Heading2"/>
        <w:spacing w:after="110" w:before="220"/>
      </w:pPr>
      <w:r>
        <w:t xml:space="preserve">Why the original framing does not fit</w:t>
      </w:r>
    </w:p>
    <w:p>
      <w:pPr>
        <w:spacing w:after="140"/>
      </w:pPr>
      <w:r>
        <w:rPr>
          <w:sz w:val="22"/>
          <w:szCs w:val="22"/>
        </w:rPr>
        <w:t xml:space="preserve">Ecological systems theory organises influences on a child into nested environmental levels and directs attention to the interaction between home, school and wider community. It is a framework about context. The present findings are not primarily about context: the variables that carry the prediction are the pupil's own attendance trajectory and academic attainment, recorded within the school. Where contextual variables were available, they added little. The framework does not make an incorrect prediction here so much as fail to engage with the result.</w:t>
      </w:r>
    </w:p>
    <w:p>
      <w:pPr>
        <w:spacing w:after="140"/>
      </w:pPr>
      <w:r>
        <w:rPr>
          <w:sz w:val="22"/>
          <w:szCs w:val="22"/>
        </w:rPr>
        <w:t xml:space="preserve">Self-determination theory concerns motivation, and specifically the satisfaction of needs for autonomy, competence and relatedness. The instrument did contain items bearing on these — school enjoyment, teacher support, classroom participation — but they sat in the questionnaire set, were proxy-reported for dropouts, and cannot support inference about motivation for that reason. The theory is not tested by this study, and presenting it as a framework the results speak to would overstate what was measured.</w:t>
      </w:r>
    </w:p>
    <w:p>
      <w:pPr>
        <w:pStyle w:val="Heading2"/>
        <w:spacing w:after="110" w:before="220"/>
      </w:pPr>
      <w:r>
        <w:t xml:space="preserve">The framework the results do fit</w:t>
      </w:r>
    </w:p>
    <w:p>
      <w:pPr>
        <w:spacing w:after="140"/>
      </w:pPr>
      <w:r>
        <w:rPr>
          <w:sz w:val="22"/>
          <w:szCs w:val="22"/>
        </w:rPr>
        <w:t xml:space="preserve">Finn's participation–identification model describes withdrawal from school as a gradual process in which declining behavioural participation and declining academic performance reinforce one another over time, so that dropout is the end of a trajectory rather than a discrete event with a proximate cause.</w:t>
      </w:r>
    </w:p>
    <w:p>
      <w:pPr>
        <w:shd w:fill="FFF3CD" w:val="clear"/>
        <w:spacing w:after="140"/>
      </w:pPr>
      <w:r>
        <w:rPr>
          <w:b/>
          <w:bCs/>
          <w:sz w:val="20"/>
          <w:szCs w:val="20"/>
        </w:rPr>
        <w:t xml:space="preserve">[VERIFY] Read Finn (1989), Withdrawing from School, Review of Educational Research 59(2), and confirm: (i) the participation and identification components as defined there; (ii) that the model treats withdrawal as cumulative and behavioural rather than as the outcome of a single precipitating factor; (iii) whether the frustration–self-esteem model is presented as an alternative or a complement. Cite specific claims, not the paper as a whole. Do not rely on this summary.</w:t>
      </w:r>
    </w:p>
    <w:p>
      <w:pPr>
        <w:spacing w:after="140"/>
      </w:pPr>
      <w:r>
        <w:rPr>
          <w:sz w:val="22"/>
          <w:szCs w:val="22"/>
        </w:rPr>
        <w:t xml:space="preserve">Three features of the present results correspond to that account. Attendance and academic attainment jointly dominate attribution, which is the pairing the model treats as central. The attendance risk index — a weighted trajectory placing greater weight on the more recent term — is the single most influential feature, consistent with a process view in which the direction of change matters, not only the level. And all forty-eight pupils who had ceased attending before term 3 were dropouts, which is what a gradual withdrawal process looks like in administrative data: departure is preceded by observable disengagement.</w:t>
      </w:r>
    </w:p>
    <w:p>
      <w:pPr>
        <w:spacing w:after="140"/>
      </w:pPr>
      <w:r>
        <w:rPr>
          <w:sz w:val="22"/>
          <w:szCs w:val="22"/>
        </w:rPr>
        <w:t xml:space="preserve">A second, complementary strand concerns household investment under constraint: the proposition that families facing binding resource constraints withdraw educational investment when its expected return falls or when the child's labour becomes more valuable. This would account for the associations observed among the questionnaire variables — income, LEAP participation, school feeding, and missing school for chores or work — but those variables are proxy-reported for dropouts in this study, so the strand is offered as interpretive context for future work rather than as a claim these data support.</w:t>
      </w:r>
    </w:p>
    <w:p>
      <w:pPr>
        <w:shd w:fill="FFF3CD" w:val="clear"/>
        <w:spacing w:after="140"/>
      </w:pPr>
      <w:r>
        <w:rPr>
          <w:b/>
          <w:bCs/>
          <w:sz w:val="20"/>
          <w:szCs w:val="20"/>
        </w:rPr>
        <w:t xml:space="preserve">[VERIFY] Identify the specific human-capital or household-investment literature to cite here, preferably including work on basic education in Ghana or West Africa, and check whether LEAP and the School Feeding Programme have been evaluated for effects on retention. Do not cite this strand without locating the sources.</w:t>
      </w:r>
    </w:p>
    <w:p>
      <w:pPr>
        <w:pStyle w:val="Heading2"/>
        <w:spacing w:after="110" w:before="220"/>
      </w:pPr>
      <w:r>
        <w:t xml:space="preserve">What this does and does not license</w:t>
      </w:r>
    </w:p>
    <w:p>
      <w:pPr>
        <w:spacing w:after="140"/>
      </w:pPr>
      <w:r>
        <w:rPr>
          <w:sz w:val="22"/>
          <w:szCs w:val="22"/>
        </w:rPr>
        <w:t xml:space="preserve">The study does not test Finn's model. It reports an attribution pattern compatible with it, on one year of data from four schools, using a framework selected after the results were known. That sequence must be stated plainly: the theoretical framing is post hoc, adopted because the original framing did not engage with the findings. Presented honestly it is a reasonable interpretation; presented as a confirmed hypothesis it would be an overclaim.</w:t>
      </w:r>
    </w:p>
    <w:p>
      <w:pPr>
        <w:pStyle w:val="Heading1"/>
        <w:spacing w:after="160" w:before="280"/>
      </w:pPr>
      <w:r>
        <w:t xml:space="preserve">D7  Limitations</w:t>
      </w:r>
    </w:p>
    <w:p>
      <w:pPr>
        <w:spacing w:after="140"/>
      </w:pPr>
      <w:r>
        <w:rPr>
          <w:sz w:val="22"/>
          <w:szCs w:val="22"/>
        </w:rPr>
        <w:t xml:space="preserve">The limitations below are ordered by how severely they constrain the conclusions. The first three cannot be remedied by further analysis of these data.</w:t>
      </w:r>
    </w:p>
    <w:p>
      <w:pPr>
        <w:pStyle w:val="Heading2"/>
        <w:spacing w:after="110" w:before="220"/>
      </w:pPr>
      <w:r>
        <w:t xml:space="preserve">L1  The prior evaluation partition cannot be repaired</w:t>
      </w:r>
    </w:p>
    <w:p>
      <w:pPr>
        <w:spacing w:after="140"/>
      </w:pPr>
      <w:r>
        <w:rPr>
          <w:sz w:val="22"/>
          <w:szCs w:val="22"/>
        </w:rPr>
        <w:t xml:space="preserve">In the previous revision the held-out partition was scored across six separate notebooks during model development. No re-analysis alters the history of a partition once it has been used repeatedly, and the figures reported in that revision are affected accordingly. The present revision scores a partition once, after a recorded configuration freeze, and its figures are therefore not directly comparable with the earlier ones. Where the two are set side by side in this paper, it is to document what changed, not to claim the earlier numbers have been corrected.</w:t>
      </w:r>
    </w:p>
    <w:p>
      <w:pPr>
        <w:pStyle w:val="Heading2"/>
        <w:spacing w:after="110" w:before="220"/>
      </w:pPr>
      <w:r>
        <w:t xml:space="preserve">L2  Four school clusters, unevenly weighted</w:t>
      </w:r>
    </w:p>
    <w:p>
      <w:pPr>
        <w:spacing w:after="140"/>
      </w:pPr>
      <w:r>
        <w:rPr>
          <w:sz w:val="22"/>
          <w:szCs w:val="22"/>
        </w:rPr>
        <w:t xml:space="preserve">The sample comprises four schools, one of which contributes 49.0% of records, with school-level dropout rates ranging from 3.3% to 20.7%. Four clusters cannot support a grouped analysis as a primary design, and the leave-one-school-out results are reported as a bounded robustness check rather than a generalisation estimate. The inference boundary is stated at pupil level within these four schools. Recruiting additional sites, rather than additional pupils within these sites, is the only route to relaxing this.</w:t>
      </w:r>
    </w:p>
    <w:p>
      <w:pPr>
        <w:pStyle w:val="Heading2"/>
        <w:spacing w:after="110" w:before="220"/>
      </w:pPr>
      <w:r>
        <w:t xml:space="preserve">L3  The testbed could not have detected a useful improvement</w:t>
      </w:r>
    </w:p>
    <w:p>
      <w:pPr>
        <w:spacing w:after="140"/>
      </w:pPr>
      <w:r>
        <w:rPr>
          <w:sz w:val="22"/>
          <w:szCs w:val="22"/>
        </w:rPr>
        <w:t xml:space="preserve">The reference model attains 0.98 AUC-PR and makes one error on 197 held-out pupils. All nine experimental arms produce an identical confusion matrix. It follows that the study could not have distinguished an operationally valuable intervention from a valueless one at the decision level, whatever the underlying truth. The reported disadvantage of focal loss is reliable as a statement about ranking quality and carries no operational implication in this setting. This is a limitation of the instrument, and it bounds every comparative claim made in this paper.</w:t>
      </w:r>
    </w:p>
    <w:p>
      <w:pPr>
        <w:pStyle w:val="Heading2"/>
        <w:spacing w:after="110" w:before="220"/>
      </w:pPr>
      <w:r>
        <w:t xml:space="preserve">L4  Differential measurement, partially but not wholly addressed</w:t>
      </w:r>
    </w:p>
    <w:p>
      <w:pPr>
        <w:spacing w:after="140"/>
      </w:pPr>
      <w:r>
        <w:rPr>
          <w:sz w:val="22"/>
          <w:szCs w:val="22"/>
        </w:rPr>
        <w:t xml:space="preserve">Restricting the primary analysis to school records removes the variables that were proxy-reported for dropouts. It does not address the possibility that outcome ascertainment itself differed in reliability across schools, since dropout status was recorded by each school rather than verified through a common procedure. Nor does it establish that school records are free of retrospective adjustment.</w:t>
      </w:r>
    </w:p>
    <w:p>
      <w:pPr>
        <w:pStyle w:val="Heading2"/>
        <w:spacing w:after="110" w:before="220"/>
      </w:pPr>
      <w:r>
        <w:t xml:space="preserve">L5  Data of uncertain provenance in two variables</w:t>
      </w:r>
    </w:p>
    <w:p>
      <w:pPr>
        <w:spacing w:after="140"/>
      </w:pPr>
      <w:r>
        <w:rPr>
          <w:sz w:val="22"/>
          <w:szCs w:val="22"/>
        </w:rPr>
        <w:t xml:space="preserve">Grade repetition count and siblings in school arrived with non-integer values in 147 and 208 records respectively, together with implausibly large values and unparseable entries in the latter. Counts cannot take fractional values, and the pattern is consistent with imputation applied during data entry by a procedure that was not documented. These values were discarded and re-imputed within each training fold, which is the fold-safe treatment whatever their origin, but the underlying data-entry procedure remains unverified.</w:t>
      </w:r>
    </w:p>
    <w:p>
      <w:pPr>
        <w:shd w:fill="FFF3CD" w:val="clear"/>
        <w:spacing w:after="140"/>
      </w:pPr>
      <w:r>
        <w:rPr>
          <w:b/>
          <w:bCs/>
          <w:sz w:val="20"/>
          <w:szCs w:val="20"/>
        </w:rPr>
        <w:t xml:space="preserve">[TO RESOLVE] Establish who prepared the workbook and whether missing values were filled during data entry. If they were, state the method here. If it cannot be established, say so explicitly rather than omitting the paragraph.</w:t>
      </w:r>
    </w:p>
    <w:p>
      <w:pPr>
        <w:pStyle w:val="Heading2"/>
        <w:spacing w:after="110" w:before="220"/>
      </w:pPr>
      <w:r>
        <w:t xml:space="preserve">L6  Statistical power and sample size</w:t>
      </w:r>
    </w:p>
    <w:p>
      <w:pPr>
        <w:spacing w:after="140"/>
      </w:pPr>
      <w:r>
        <w:rPr>
          <w:sz w:val="22"/>
          <w:szCs w:val="22"/>
        </w:rPr>
        <w:t xml:space="preserve">With 86 dropout cases in total and 69 in the training partition, the minimum detectable effect for the paired design at 80% power is 0.0044, marginally above the observed effect of 0.0033. A single seed is therefore insufficient to establish the difference, and the finding rests on the consistency of its sign across ten seeds. Seeds re-partition the same pupils and are not independent samples, so they strengthen confidence in the sign without increasing the effective sample size.</w:t>
      </w:r>
    </w:p>
    <w:p>
      <w:pPr>
        <w:pStyle w:val="Heading2"/>
        <w:spacing w:after="110" w:before="220"/>
      </w:pPr>
      <w:r>
        <w:t xml:space="preserve">L7  Subgroup analysis is underpowered</w:t>
      </w:r>
    </w:p>
    <w:p>
      <w:pPr>
        <w:spacing w:after="140"/>
      </w:pPr>
      <w:r>
        <w:rPr>
          <w:sz w:val="22"/>
          <w:szCs w:val="22"/>
        </w:rPr>
        <w:t xml:space="preserve">All measured fairness differences fall within the declared 0.10 threshold, but the smallest subgroup examined contains a single dropout case, and the two pre-specified attributes contain five and seven cases in their smaller groups. The audit supports the claim that no large disparity is visible; it does not support a claim that the model is fair, and a disparity of practical magnitude could not have been detected at this sample size.</w:t>
      </w:r>
    </w:p>
    <w:p>
      <w:pPr>
        <w:pStyle w:val="Heading2"/>
        <w:spacing w:after="110" w:before="220"/>
      </w:pPr>
      <w:r>
        <w:t xml:space="preserve">L8  A single academic year with a short prediction window</w:t>
      </w:r>
    </w:p>
    <w:p>
      <w:pPr>
        <w:spacing w:after="140"/>
      </w:pPr>
      <w:r>
        <w:rPr>
          <w:sz w:val="22"/>
          <w:szCs w:val="22"/>
        </w:rPr>
        <w:t xml:space="preserve">All records describe the 2024/25 academic year, and no temporal validation was possible. Because term 3 attendance records the outcome rather than preceding it, and because examination results were those of term 2, the model predicts using data from the first two terms for pupils who in most cases departed before the third. The usable forecasting horizon is therefore short — a matter of weeks to months — which limits the scope for intervention even where identification is accurate. Performance over a longer horizon is untested.</w:t>
      </w:r>
    </w:p>
    <w:p>
      <w:pPr>
        <w:pStyle w:val="Heading2"/>
        <w:spacing w:after="110" w:before="220"/>
      </w:pPr>
      <w:r>
        <w:t xml:space="preserve">L9  Ethical scope of the collection procedure</w:t>
      </w:r>
    </w:p>
    <w:p>
      <w:pPr>
        <w:spacing w:after="140"/>
      </w:pPr>
      <w:r>
        <w:rPr>
          <w:sz w:val="22"/>
          <w:szCs w:val="22"/>
        </w:rPr>
        <w:t xml:space="preserve">Household and socioeconomic information concerning pupils who had left school was obtained from their classmates. This constitutes disclosure about third parties, including about their families, by minors. The procedure is recorded here for transparency and its coverage under the approved protocol should be confirmed.</w:t>
      </w:r>
    </w:p>
    <w:p>
      <w:pPr>
        <w:shd w:fill="FFF3CD" w:val="clear"/>
        <w:spacing w:after="140"/>
      </w:pPr>
      <w:r>
        <w:rPr>
          <w:b/>
          <w:bCs/>
          <w:sz w:val="20"/>
          <w:szCs w:val="20"/>
        </w:rPr>
        <w:t xml:space="preserve">[TO RESOLVE] Confirm with the ethics committee whether the approved protocol covers proxy reporting by pupils about a classmate's household circumstances. Record the outcome here.</w:t>
      </w:r>
    </w:p>
    <w:p>
      <w:pPr>
        <w:pStyle w:val="Heading2"/>
        <w:spacing w:after="110" w:before="220"/>
      </w:pPr>
      <w:r>
        <w:t xml:space="preserve">L10  Post hoc theoretical framing</w:t>
      </w:r>
    </w:p>
    <w:p>
      <w:pPr>
        <w:spacing w:after="140"/>
      </w:pPr>
      <w:r>
        <w:rPr>
          <w:sz w:val="22"/>
          <w:szCs w:val="22"/>
        </w:rPr>
        <w:t xml:space="preserve">The theoretical framework discussed in D6 was selected after the attribution results were known, because the frameworks originally adopted did not engage with them. The study reports a pattern compatible with that framework; it does not test it.</w:t>
      </w:r>
    </w:p>
    <w:p>
      <w:pPr>
        <w:pStyle w:val="Heading1"/>
        <w:spacing w:after="160" w:before="280"/>
      </w:pPr>
      <w:r>
        <w:t xml:space="preserve">D8  Future work</w:t>
      </w:r>
    </w:p>
    <w:p>
      <w:pPr>
        <w:spacing w:after="140"/>
      </w:pPr>
      <w:r>
        <w:rPr>
          <w:sz w:val="22"/>
          <w:szCs w:val="22"/>
        </w:rPr>
        <w:t xml:space="preserve">Four directions follow from the limitations, and are ordered by the strength of the case for them.</w:t>
      </w:r>
    </w:p>
    <w:p>
      <w:pPr>
        <w:spacing w:after="140"/>
      </w:pPr>
      <w:r>
        <w:rPr>
          <w:sz w:val="22"/>
          <w:szCs w:val="22"/>
        </w:rPr>
        <w:t xml:space="preserve">Recruit additional schools. This is the single highest-value action available and addresses L2, part of L4 and part of L7 simultaneously. The relevant quantity is the number of sites, not the number of pupils: ten schools of a hundred pupils would support inferences that four schools of a thousand cannot.</w:t>
      </w:r>
    </w:p>
    <w:p>
      <w:pPr>
        <w:spacing w:after="140"/>
      </w:pPr>
      <w:r>
        <w:rPr>
          <w:sz w:val="22"/>
          <w:szCs w:val="22"/>
        </w:rPr>
        <w:t xml:space="preserve">Test the separability hypothesis directly. The proposition arising from D2 — that focal loss becomes useful as class overlap increases and harmful as separability increases — is testable by varying the predictor set to construct problems of graded difficulty, or by evaluating the same comparison on datasets with weaker predictors. That would convert the present boundary observation into a finding about when the method applies.</w:t>
      </w:r>
    </w:p>
    <w:p>
      <w:pPr>
        <w:spacing w:after="140"/>
      </w:pPr>
      <w:r>
        <w:rPr>
          <w:sz w:val="22"/>
          <w:szCs w:val="22"/>
        </w:rPr>
        <w:t xml:space="preserve">Extend the forecasting horizon. Predicting term 3 departure from term 1 and term 2 data leaves little room for intervention. A design that predicts the following academic year from the current one would be both more useful operationally and more demanding statistically, and would very likely reduce the separability that limited the present study.</w:t>
      </w:r>
    </w:p>
    <w:p>
      <w:pPr>
        <w:spacing w:after="140"/>
      </w:pPr>
      <w:r>
        <w:rPr>
          <w:sz w:val="22"/>
          <w:szCs w:val="22"/>
        </w:rPr>
        <w:t xml:space="preserve">Collect outcome-independent measures for departed pupils. If household circumstances are to be studied, they must be obtained in a manner that does not depend on the outcome — for example by surveying all pupils at the start of the year, before any departure occurs. This is a design change, not an analysis change, and no statistical treatment substitutes for it.</w:t>
      </w:r>
    </w:p>
    <w:p>
      <w:pPr>
        <w:pStyle w:val="Heading1"/>
        <w:spacing w:after="160" w:before="280"/>
      </w:pPr>
      <w:r>
        <w:t xml:space="preserve">D9  Conclusion</w:t>
      </w:r>
    </w:p>
    <w:p>
      <w:pPr>
        <w:spacing w:after="140"/>
      </w:pPr>
      <w:r>
        <w:rPr>
          <w:sz w:val="22"/>
          <w:szCs w:val="22"/>
        </w:rPr>
        <w:t xml:space="preserve">Substituting focal loss for binary cross-entropy produced a small, reliable reduction in minority-class ranking performance on this dataset, and no change whatever in the decisions the model would support. The mechanism operated as designed on the difficult cases it targets; those cases were too few, and the dataset too separable, for that to translate into aggregate benefit.</w:t>
      </w:r>
    </w:p>
    <w:p>
      <w:pPr>
        <w:spacing w:after="140"/>
      </w:pPr>
      <w:r>
        <w:rPr>
          <w:sz w:val="22"/>
          <w:szCs w:val="22"/>
        </w:rPr>
        <w:t xml:space="preserve">The more durable contributions of the study lie elsewhere. School attendance and examination records held routinely by every headteacher predicted dropout in these four schools with an accuracy that the full questionnaire instrument improved only marginally, and a headteacher reviewing ten pupils per hundred would reach 96% of those who left. Ranking transferred across schools while threshold calibration did not, which is a practical requirement for any deployment. And the study documents, from its own data, how the circumstance that pupils who leave school cannot be surveyed can produce variables that encode an outcome rather than predict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2026-09-22T23:57:52.919Z</dcterms:created>
  <dcterms:modified xsi:type="dcterms:W3CDTF">2026-09-22T23:57:52.928Z</dcterms:modified>
</cp:coreProperties>
</file>

<file path=docProps/custom.xml><?xml version="1.0" encoding="utf-8"?>
<Properties xmlns="http://schemas.openxmlformats.org/officeDocument/2006/custom-properties" xmlns:vt="http://schemas.openxmlformats.org/officeDocument/2006/docPropsVTypes"/>
</file>