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Predicting School Dropout in Ghanaian Basic Schools</w:t>
      </w:r>
    </w:p>
    <w:p>
      <w:pPr>
        <w:spacing w:after="60"/>
        <w:jc w:val="center"/>
      </w:pPr>
      <w:r>
        <w:rPr>
          <w:b/>
          <w:bCs/>
          <w:sz w:val="26"/>
          <w:szCs w:val="26"/>
        </w:rPr>
        <w:t xml:space="preserve">RESULTS  (Revision R02)</w:t>
      </w:r>
    </w:p>
    <w:p>
      <w:pPr>
        <w:spacing w:after="240"/>
        <w:jc w:val="center"/>
      </w:pPr>
      <w:r>
        <w:rPr>
          <w:i/>
          <w:iCs/>
          <w:sz w:val="20"/>
          <w:szCs w:val="20"/>
        </w:rPr>
        <w:t xml:space="preserve">Group 5  ·  Department of Computer Science, KNUST</w:t>
      </w:r>
    </w:p>
    <w:p>
      <w:pPr>
        <w:spacing w:after="160"/>
      </w:pPr>
      <w:r>
        <w:rPr>
          <w:i/>
          <w:iCs/>
          <w:sz w:val="18"/>
          <w:szCs w:val="18"/>
        </w:rPr>
        <w:t xml:space="preserve">All figures are generated by run 20260922T232734Z_records, frozen under identifier R02-freeze-2026-09-22-1500. Unless stated otherwise, figures are cross-validated within the 784-pupil training partition (five folds, five repeats, ten seeds; 250 paired fold evaluations per arm). The 197-pupil test partition was scored once, in R8. Base rate 8.8%; 69 dropout cases in the training partition, 17 in the test partition.</w:t>
      </w:r>
    </w:p>
    <w:p>
      <w:pPr>
        <w:pStyle w:val="Heading1"/>
        <w:spacing w:after="160" w:before="280"/>
      </w:pPr>
      <w:r>
        <w:t xml:space="preserve">R1  Sample</w:t>
      </w:r>
    </w:p>
    <w:p>
      <w:pPr>
        <w:spacing w:after="140"/>
      </w:pPr>
      <w:r>
        <w:rPr>
          <w:sz w:val="22"/>
          <w:szCs w:val="22"/>
        </w:rPr>
        <w:t xml:space="preserve">The analytic sample comprises 981 pupils across four basic schools, of whom 86 (8.8%) dropped out during the 2024/25 academic year. Nineteen exact duplicate records were removed from the 1,000 rows of the raw workbook; the previously reported figures of 1,000 pupils and 92 dropout cases counted those duplicates.</w:t>
      </w:r>
    </w:p>
    <w:p>
      <w:pPr>
        <w:spacing w:after="140"/>
      </w:pPr>
      <w:r>
        <w:rPr>
          <w:sz w:val="22"/>
          <w:szCs w:val="22"/>
        </w:rPr>
        <w:t xml:space="preserve">The frozen 80/20 stratified partition yields 784 pupils (69 dropout cases) for training and model comparison, and 197 pupils (17 dropout cases) held out. School-level dropout rates range from 3.3% to 20.7%, and the largest school contributes 49.0% of records.</w:t>
      </w:r>
    </w:p>
    <w:p>
      <w:pPr>
        <w:pStyle w:val="Heading1"/>
        <w:spacing w:after="160" w:before="280"/>
      </w:pPr>
      <w:r>
        <w:t xml:space="preserve">R2  Baseline classifier comparison</w:t>
      </w:r>
    </w:p>
    <w:p>
      <w:pPr>
        <w:spacing w:after="140"/>
      </w:pPr>
      <w:r>
        <w:rPr>
          <w:sz w:val="22"/>
          <w:szCs w:val="22"/>
        </w:rPr>
        <w:t xml:space="preserve">Six classifiers were compared under the identical in-fold pipeline, the identical folds and zero hyperparameter search trials each. This table is the supplementary comparison promised by the second study objective and absent from the previous revision.</w:t>
      </w:r>
    </w:p>
    <w:p>
      <w:pPr>
        <w:spacing w:after="80" w:before="160"/>
      </w:pPr>
      <w:r>
        <w:rPr>
          <w:b/>
          <w:bCs/>
          <w:sz w:val="20"/>
          <w:szCs w:val="20"/>
        </w:rPr>
        <w:t xml:space="preserve">Table R1. Six-classifier comparison, school-record features, cross-validated on the training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6"/>
        <w:gridCol w:w="1285"/>
        <w:gridCol w:w="1285"/>
        <w:gridCol w:w="1193"/>
        <w:gridCol w:w="1560"/>
        <w:gridCol w:w="1652"/>
      </w:tblGrid>
      <w:tr>
        <w:trPr>
          <w:tblHeader/>
        </w:trPr>
        <w:tc>
          <w:tcPr>
            <w:tcW w:type="dxa" w:w="2386"/>
            <w:shd w:fill="E8EDF2" w:val="clear"/>
            <w:tcMar>
              <w:top w:type="dxa" w:w="60"/>
              <w:left w:type="dxa" w:w="90"/>
              <w:bottom w:type="dxa" w:w="60"/>
              <w:right w:type="dxa" w:w="90"/>
            </w:tcMar>
          </w:tcPr>
          <w:p>
            <w:r>
              <w:rPr>
                <w:b/>
                <w:bCs/>
                <w:sz w:val="18"/>
                <w:szCs w:val="18"/>
              </w:rPr>
              <w:t xml:space="preserve">Classifier</w:t>
            </w:r>
          </w:p>
        </w:tc>
        <w:tc>
          <w:tcPr>
            <w:tcW w:type="dxa" w:w="1285"/>
            <w:shd w:fill="E8EDF2" w:val="clear"/>
            <w:tcMar>
              <w:top w:type="dxa" w:w="60"/>
              <w:left w:type="dxa" w:w="90"/>
              <w:bottom w:type="dxa" w:w="60"/>
              <w:right w:type="dxa" w:w="90"/>
            </w:tcMar>
          </w:tcPr>
          <w:p>
            <w:r>
              <w:rPr>
                <w:b/>
                <w:bCs/>
                <w:sz w:val="18"/>
                <w:szCs w:val="18"/>
              </w:rPr>
              <w:t xml:space="preserve">AUC-PR</w:t>
            </w:r>
          </w:p>
        </w:tc>
        <w:tc>
          <w:tcPr>
            <w:tcW w:type="dxa" w:w="1285"/>
            <w:shd w:fill="E8EDF2" w:val="clear"/>
            <w:tcMar>
              <w:top w:type="dxa" w:w="60"/>
              <w:left w:type="dxa" w:w="90"/>
              <w:bottom w:type="dxa" w:w="60"/>
              <w:right w:type="dxa" w:w="90"/>
            </w:tcMar>
          </w:tcPr>
          <w:p>
            <w:r>
              <w:rPr>
                <w:b/>
                <w:bCs/>
                <w:sz w:val="18"/>
                <w:szCs w:val="18"/>
              </w:rPr>
              <w:t xml:space="preserve">AUC-ROC</w:t>
            </w:r>
          </w:p>
        </w:tc>
        <w:tc>
          <w:tcPr>
            <w:tcW w:type="dxa" w:w="1193"/>
            <w:shd w:fill="E8EDF2" w:val="clear"/>
            <w:tcMar>
              <w:top w:type="dxa" w:w="60"/>
              <w:left w:type="dxa" w:w="90"/>
              <w:bottom w:type="dxa" w:w="60"/>
              <w:right w:type="dxa" w:w="90"/>
            </w:tcMar>
          </w:tcPr>
          <w:p>
            <w:r>
              <w:rPr>
                <w:b/>
                <w:bCs/>
                <w:sz w:val="18"/>
                <w:szCs w:val="18"/>
              </w:rPr>
              <w:t xml:space="preserve">Recall</w:t>
            </w:r>
          </w:p>
        </w:tc>
        <w:tc>
          <w:tcPr>
            <w:tcW w:type="dxa" w:w="1560"/>
            <w:shd w:fill="E8EDF2" w:val="clear"/>
            <w:tcMar>
              <w:top w:type="dxa" w:w="60"/>
              <w:left w:type="dxa" w:w="90"/>
              <w:bottom w:type="dxa" w:w="60"/>
              <w:right w:type="dxa" w:w="90"/>
            </w:tcMar>
          </w:tcPr>
          <w:p>
            <w:r>
              <w:rPr>
                <w:b/>
                <w:bCs/>
                <w:sz w:val="18"/>
                <w:szCs w:val="18"/>
              </w:rPr>
              <w:t xml:space="preserve">Between-seed SD</w:t>
            </w:r>
          </w:p>
        </w:tc>
        <w:tc>
          <w:tcPr>
            <w:tcW w:type="dxa" w:w="1652"/>
            <w:shd w:fill="E8EDF2" w:val="clear"/>
            <w:tcMar>
              <w:top w:type="dxa" w:w="60"/>
              <w:left w:type="dxa" w:w="90"/>
              <w:bottom w:type="dxa" w:w="60"/>
              <w:right w:type="dxa" w:w="90"/>
            </w:tcMar>
          </w:tcPr>
          <w:p>
            <w:r>
              <w:rPr>
                <w:b/>
                <w:bCs/>
                <w:sz w:val="18"/>
                <w:szCs w:val="18"/>
              </w:rPr>
              <w:t xml:space="preserve">Within-seed fold SD</w:t>
            </w:r>
          </w:p>
        </w:tc>
      </w:tr>
      <w:tr>
        <w:tc>
          <w:tcPr>
            <w:tcW w:type="dxa" w:w="2386"/>
            <w:tcMar>
              <w:top w:type="dxa" w:w="60"/>
              <w:left w:type="dxa" w:w="90"/>
              <w:bottom w:type="dxa" w:w="60"/>
              <w:right w:type="dxa" w:w="90"/>
            </w:tcMar>
          </w:tcPr>
          <w:p>
            <w:r>
              <w:rPr>
                <w:b w:val="false"/>
                <w:bCs w:val="false"/>
                <w:sz w:val="18"/>
                <w:szCs w:val="18"/>
              </w:rPr>
              <w:t xml:space="preserve">Random Forest</w:t>
            </w:r>
          </w:p>
        </w:tc>
        <w:tc>
          <w:tcPr>
            <w:tcW w:type="dxa" w:w="1285"/>
            <w:tcMar>
              <w:top w:type="dxa" w:w="60"/>
              <w:left w:type="dxa" w:w="90"/>
              <w:bottom w:type="dxa" w:w="60"/>
              <w:right w:type="dxa" w:w="90"/>
            </w:tcMar>
          </w:tcPr>
          <w:p>
            <w:r>
              <w:rPr>
                <w:b w:val="false"/>
                <w:bCs w:val="false"/>
                <w:sz w:val="18"/>
                <w:szCs w:val="18"/>
              </w:rPr>
              <w:t xml:space="preserve">0.9868</w:t>
            </w:r>
          </w:p>
        </w:tc>
        <w:tc>
          <w:tcPr>
            <w:tcW w:type="dxa" w:w="1285"/>
            <w:tcMar>
              <w:top w:type="dxa" w:w="60"/>
              <w:left w:type="dxa" w:w="90"/>
              <w:bottom w:type="dxa" w:w="60"/>
              <w:right w:type="dxa" w:w="90"/>
            </w:tcMar>
          </w:tcPr>
          <w:p>
            <w:r>
              <w:rPr>
                <w:b w:val="false"/>
                <w:bCs w:val="false"/>
                <w:sz w:val="18"/>
                <w:szCs w:val="18"/>
              </w:rPr>
              <w:t xml:space="preserve">0.9980</w:t>
            </w:r>
          </w:p>
        </w:tc>
        <w:tc>
          <w:tcPr>
            <w:tcW w:type="dxa" w:w="1193"/>
            <w:tcMar>
              <w:top w:type="dxa" w:w="60"/>
              <w:left w:type="dxa" w:w="90"/>
              <w:bottom w:type="dxa" w:w="60"/>
              <w:right w:type="dxa" w:w="90"/>
            </w:tcMar>
          </w:tcPr>
          <w:p>
            <w:r>
              <w:rPr>
                <w:b w:val="false"/>
                <w:bCs w:val="false"/>
                <w:sz w:val="18"/>
                <w:szCs w:val="18"/>
              </w:rPr>
              <w:t xml:space="preserve">0.873</w:t>
            </w:r>
          </w:p>
        </w:tc>
        <w:tc>
          <w:tcPr>
            <w:tcW w:type="dxa" w:w="1560"/>
            <w:tcMar>
              <w:top w:type="dxa" w:w="60"/>
              <w:left w:type="dxa" w:w="90"/>
              <w:bottom w:type="dxa" w:w="60"/>
              <w:right w:type="dxa" w:w="90"/>
            </w:tcMar>
          </w:tcPr>
          <w:p>
            <w:r>
              <w:rPr>
                <w:b w:val="false"/>
                <w:bCs w:val="false"/>
                <w:sz w:val="18"/>
                <w:szCs w:val="18"/>
              </w:rPr>
              <w:t xml:space="preserve">0.0026</w:t>
            </w:r>
          </w:p>
        </w:tc>
        <w:tc>
          <w:tcPr>
            <w:tcW w:type="dxa" w:w="1652"/>
            <w:tcMar>
              <w:top w:type="dxa" w:w="60"/>
              <w:left w:type="dxa" w:w="90"/>
              <w:bottom w:type="dxa" w:w="60"/>
              <w:right w:type="dxa" w:w="90"/>
            </w:tcMar>
          </w:tcPr>
          <w:p>
            <w:r>
              <w:rPr>
                <w:b w:val="false"/>
                <w:bCs w:val="false"/>
                <w:sz w:val="18"/>
                <w:szCs w:val="18"/>
              </w:rPr>
              <w:t xml:space="preserve">0.0184</w:t>
            </w:r>
          </w:p>
        </w:tc>
      </w:tr>
      <w:tr>
        <w:tc>
          <w:tcPr>
            <w:tcW w:type="dxa" w:w="2386"/>
            <w:tcMar>
              <w:top w:type="dxa" w:w="60"/>
              <w:left w:type="dxa" w:w="90"/>
              <w:bottom w:type="dxa" w:w="60"/>
              <w:right w:type="dxa" w:w="90"/>
            </w:tcMar>
          </w:tcPr>
          <w:p>
            <w:r>
              <w:rPr>
                <w:b w:val="false"/>
                <w:bCs w:val="false"/>
                <w:sz w:val="18"/>
                <w:szCs w:val="18"/>
              </w:rPr>
              <w:t xml:space="preserve">LightGBM</w:t>
            </w:r>
          </w:p>
        </w:tc>
        <w:tc>
          <w:tcPr>
            <w:tcW w:type="dxa" w:w="1285"/>
            <w:tcMar>
              <w:top w:type="dxa" w:w="60"/>
              <w:left w:type="dxa" w:w="90"/>
              <w:bottom w:type="dxa" w:w="60"/>
              <w:right w:type="dxa" w:w="90"/>
            </w:tcMar>
          </w:tcPr>
          <w:p>
            <w:r>
              <w:rPr>
                <w:b w:val="false"/>
                <w:bCs w:val="false"/>
                <w:sz w:val="18"/>
                <w:szCs w:val="18"/>
              </w:rPr>
              <w:t xml:space="preserve">0.9812</w:t>
            </w:r>
          </w:p>
        </w:tc>
        <w:tc>
          <w:tcPr>
            <w:tcW w:type="dxa" w:w="1285"/>
            <w:tcMar>
              <w:top w:type="dxa" w:w="60"/>
              <w:left w:type="dxa" w:w="90"/>
              <w:bottom w:type="dxa" w:w="60"/>
              <w:right w:type="dxa" w:w="90"/>
            </w:tcMar>
          </w:tcPr>
          <w:p>
            <w:r>
              <w:rPr>
                <w:b w:val="false"/>
                <w:bCs w:val="false"/>
                <w:sz w:val="18"/>
                <w:szCs w:val="18"/>
              </w:rPr>
              <w:t xml:space="preserve">0.9961</w:t>
            </w:r>
          </w:p>
        </w:tc>
        <w:tc>
          <w:tcPr>
            <w:tcW w:type="dxa" w:w="1193"/>
            <w:tcMar>
              <w:top w:type="dxa" w:w="60"/>
              <w:left w:type="dxa" w:w="90"/>
              <w:bottom w:type="dxa" w:w="60"/>
              <w:right w:type="dxa" w:w="90"/>
            </w:tcMar>
          </w:tcPr>
          <w:p>
            <w:r>
              <w:rPr>
                <w:b w:val="false"/>
                <w:bCs w:val="false"/>
                <w:sz w:val="18"/>
                <w:szCs w:val="18"/>
              </w:rPr>
              <w:t xml:space="preserve">0.905</w:t>
            </w:r>
          </w:p>
        </w:tc>
        <w:tc>
          <w:tcPr>
            <w:tcW w:type="dxa" w:w="1560"/>
            <w:tcMar>
              <w:top w:type="dxa" w:w="60"/>
              <w:left w:type="dxa" w:w="90"/>
              <w:bottom w:type="dxa" w:w="60"/>
              <w:right w:type="dxa" w:w="90"/>
            </w:tcMar>
          </w:tcPr>
          <w:p>
            <w:r>
              <w:rPr>
                <w:b w:val="false"/>
                <w:bCs w:val="false"/>
                <w:sz w:val="18"/>
                <w:szCs w:val="18"/>
              </w:rPr>
              <w:t xml:space="preserve">0.0035</w:t>
            </w:r>
          </w:p>
        </w:tc>
        <w:tc>
          <w:tcPr>
            <w:tcW w:type="dxa" w:w="1652"/>
            <w:tcMar>
              <w:top w:type="dxa" w:w="60"/>
              <w:left w:type="dxa" w:w="90"/>
              <w:bottom w:type="dxa" w:w="60"/>
              <w:right w:type="dxa" w:w="90"/>
            </w:tcMar>
          </w:tcPr>
          <w:p>
            <w:r>
              <w:rPr>
                <w:b w:val="false"/>
                <w:bCs w:val="false"/>
                <w:sz w:val="18"/>
                <w:szCs w:val="18"/>
              </w:rPr>
              <w:t xml:space="preserve">0.0245</w:t>
            </w:r>
          </w:p>
        </w:tc>
      </w:tr>
      <w:tr>
        <w:tc>
          <w:tcPr>
            <w:tcW w:type="dxa" w:w="2386"/>
            <w:tcMar>
              <w:top w:type="dxa" w:w="60"/>
              <w:left w:type="dxa" w:w="90"/>
              <w:bottom w:type="dxa" w:w="60"/>
              <w:right w:type="dxa" w:w="90"/>
            </w:tcMar>
          </w:tcPr>
          <w:p>
            <w:r>
              <w:rPr>
                <w:b w:val="false"/>
                <w:bCs w:val="false"/>
                <w:sz w:val="18"/>
                <w:szCs w:val="18"/>
              </w:rPr>
              <w:t xml:space="preserve">CatBoost</w:t>
            </w:r>
          </w:p>
        </w:tc>
        <w:tc>
          <w:tcPr>
            <w:tcW w:type="dxa" w:w="1285"/>
            <w:tcMar>
              <w:top w:type="dxa" w:w="60"/>
              <w:left w:type="dxa" w:w="90"/>
              <w:bottom w:type="dxa" w:w="60"/>
              <w:right w:type="dxa" w:w="90"/>
            </w:tcMar>
          </w:tcPr>
          <w:p>
            <w:r>
              <w:rPr>
                <w:b w:val="false"/>
                <w:bCs w:val="false"/>
                <w:sz w:val="18"/>
                <w:szCs w:val="18"/>
              </w:rPr>
              <w:t xml:space="preserve">0.9761</w:t>
            </w:r>
          </w:p>
        </w:tc>
        <w:tc>
          <w:tcPr>
            <w:tcW w:type="dxa" w:w="1285"/>
            <w:tcMar>
              <w:top w:type="dxa" w:w="60"/>
              <w:left w:type="dxa" w:w="90"/>
              <w:bottom w:type="dxa" w:w="60"/>
              <w:right w:type="dxa" w:w="90"/>
            </w:tcMar>
          </w:tcPr>
          <w:p>
            <w:r>
              <w:rPr>
                <w:b w:val="false"/>
                <w:bCs w:val="false"/>
                <w:sz w:val="18"/>
                <w:szCs w:val="18"/>
              </w:rPr>
              <w:t xml:space="preserve">0.9937</w:t>
            </w:r>
          </w:p>
        </w:tc>
        <w:tc>
          <w:tcPr>
            <w:tcW w:type="dxa" w:w="1193"/>
            <w:tcMar>
              <w:top w:type="dxa" w:w="60"/>
              <w:left w:type="dxa" w:w="90"/>
              <w:bottom w:type="dxa" w:w="60"/>
              <w:right w:type="dxa" w:w="90"/>
            </w:tcMar>
          </w:tcPr>
          <w:p>
            <w:r>
              <w:rPr>
                <w:b w:val="false"/>
                <w:bCs w:val="false"/>
                <w:sz w:val="18"/>
                <w:szCs w:val="18"/>
              </w:rPr>
              <w:t xml:space="preserve">0.890</w:t>
            </w:r>
          </w:p>
        </w:tc>
        <w:tc>
          <w:tcPr>
            <w:tcW w:type="dxa" w:w="1560"/>
            <w:tcMar>
              <w:top w:type="dxa" w:w="60"/>
              <w:left w:type="dxa" w:w="90"/>
              <w:bottom w:type="dxa" w:w="60"/>
              <w:right w:type="dxa" w:w="90"/>
            </w:tcMar>
          </w:tcPr>
          <w:p>
            <w:r>
              <w:rPr>
                <w:b w:val="false"/>
                <w:bCs w:val="false"/>
                <w:sz w:val="18"/>
                <w:szCs w:val="18"/>
              </w:rPr>
              <w:t xml:space="preserve">0.0024</w:t>
            </w:r>
          </w:p>
        </w:tc>
        <w:tc>
          <w:tcPr>
            <w:tcW w:type="dxa" w:w="1652"/>
            <w:tcMar>
              <w:top w:type="dxa" w:w="60"/>
              <w:left w:type="dxa" w:w="90"/>
              <w:bottom w:type="dxa" w:w="60"/>
              <w:right w:type="dxa" w:w="90"/>
            </w:tcMar>
          </w:tcPr>
          <w:p>
            <w:r>
              <w:rPr>
                <w:b w:val="false"/>
                <w:bCs w:val="false"/>
                <w:sz w:val="18"/>
                <w:szCs w:val="18"/>
              </w:rPr>
              <w:t xml:space="preserve">0.0273</w:t>
            </w:r>
          </w:p>
        </w:tc>
      </w:tr>
      <w:tr>
        <w:tc>
          <w:tcPr>
            <w:tcW w:type="dxa" w:w="2386"/>
            <w:tcMar>
              <w:top w:type="dxa" w:w="60"/>
              <w:left w:type="dxa" w:w="90"/>
              <w:bottom w:type="dxa" w:w="60"/>
              <w:right w:type="dxa" w:w="90"/>
            </w:tcMar>
          </w:tcPr>
          <w:p>
            <w:r>
              <w:rPr>
                <w:b w:val="false"/>
                <w:bCs w:val="false"/>
                <w:sz w:val="18"/>
                <w:szCs w:val="18"/>
              </w:rPr>
              <w:t xml:space="preserve">XGBoost</w:t>
            </w:r>
          </w:p>
        </w:tc>
        <w:tc>
          <w:tcPr>
            <w:tcW w:type="dxa" w:w="1285"/>
            <w:tcMar>
              <w:top w:type="dxa" w:w="60"/>
              <w:left w:type="dxa" w:w="90"/>
              <w:bottom w:type="dxa" w:w="60"/>
              <w:right w:type="dxa" w:w="90"/>
            </w:tcMar>
          </w:tcPr>
          <w:p>
            <w:r>
              <w:rPr>
                <w:b w:val="false"/>
                <w:bCs w:val="false"/>
                <w:sz w:val="18"/>
                <w:szCs w:val="18"/>
              </w:rPr>
              <w:t xml:space="preserve">0.9664</w:t>
            </w:r>
          </w:p>
        </w:tc>
        <w:tc>
          <w:tcPr>
            <w:tcW w:type="dxa" w:w="1285"/>
            <w:tcMar>
              <w:top w:type="dxa" w:w="60"/>
              <w:left w:type="dxa" w:w="90"/>
              <w:bottom w:type="dxa" w:w="60"/>
              <w:right w:type="dxa" w:w="90"/>
            </w:tcMar>
          </w:tcPr>
          <w:p>
            <w:r>
              <w:rPr>
                <w:b w:val="false"/>
                <w:bCs w:val="false"/>
                <w:sz w:val="18"/>
                <w:szCs w:val="18"/>
              </w:rPr>
              <w:t xml:space="preserve">0.9905</w:t>
            </w:r>
          </w:p>
        </w:tc>
        <w:tc>
          <w:tcPr>
            <w:tcW w:type="dxa" w:w="1193"/>
            <w:tcMar>
              <w:top w:type="dxa" w:w="60"/>
              <w:left w:type="dxa" w:w="90"/>
              <w:bottom w:type="dxa" w:w="60"/>
              <w:right w:type="dxa" w:w="90"/>
            </w:tcMar>
          </w:tcPr>
          <w:p>
            <w:r>
              <w:rPr>
                <w:b w:val="false"/>
                <w:bCs w:val="false"/>
                <w:sz w:val="18"/>
                <w:szCs w:val="18"/>
              </w:rPr>
              <w:t xml:space="preserve">0.899</w:t>
            </w:r>
          </w:p>
        </w:tc>
        <w:tc>
          <w:tcPr>
            <w:tcW w:type="dxa" w:w="1560"/>
            <w:tcMar>
              <w:top w:type="dxa" w:w="60"/>
              <w:left w:type="dxa" w:w="90"/>
              <w:bottom w:type="dxa" w:w="60"/>
              <w:right w:type="dxa" w:w="90"/>
            </w:tcMar>
          </w:tcPr>
          <w:p>
            <w:r>
              <w:rPr>
                <w:b w:val="false"/>
                <w:bCs w:val="false"/>
                <w:sz w:val="18"/>
                <w:szCs w:val="18"/>
              </w:rPr>
              <w:t xml:space="preserve">0.0029</w:t>
            </w:r>
          </w:p>
        </w:tc>
        <w:tc>
          <w:tcPr>
            <w:tcW w:type="dxa" w:w="1652"/>
            <w:tcMar>
              <w:top w:type="dxa" w:w="60"/>
              <w:left w:type="dxa" w:w="90"/>
              <w:bottom w:type="dxa" w:w="60"/>
              <w:right w:type="dxa" w:w="90"/>
            </w:tcMar>
          </w:tcPr>
          <w:p>
            <w:r>
              <w:rPr>
                <w:b w:val="false"/>
                <w:bCs w:val="false"/>
                <w:sz w:val="18"/>
                <w:szCs w:val="18"/>
              </w:rPr>
              <w:t xml:space="preserve">0.0403</w:t>
            </w:r>
          </w:p>
        </w:tc>
      </w:tr>
      <w:tr>
        <w:tc>
          <w:tcPr>
            <w:tcW w:type="dxa" w:w="2386"/>
            <w:tcMar>
              <w:top w:type="dxa" w:w="60"/>
              <w:left w:type="dxa" w:w="90"/>
              <w:bottom w:type="dxa" w:w="60"/>
              <w:right w:type="dxa" w:w="90"/>
            </w:tcMar>
          </w:tcPr>
          <w:p>
            <w:r>
              <w:rPr>
                <w:b w:val="false"/>
                <w:bCs w:val="false"/>
                <w:sz w:val="18"/>
                <w:szCs w:val="18"/>
              </w:rPr>
              <w:t xml:space="preserve">Logistic Regression</w:t>
            </w:r>
          </w:p>
        </w:tc>
        <w:tc>
          <w:tcPr>
            <w:tcW w:type="dxa" w:w="1285"/>
            <w:tcMar>
              <w:top w:type="dxa" w:w="60"/>
              <w:left w:type="dxa" w:w="90"/>
              <w:bottom w:type="dxa" w:w="60"/>
              <w:right w:type="dxa" w:w="90"/>
            </w:tcMar>
          </w:tcPr>
          <w:p>
            <w:r>
              <w:rPr>
                <w:b w:val="false"/>
                <w:bCs w:val="false"/>
                <w:sz w:val="18"/>
                <w:szCs w:val="18"/>
              </w:rPr>
              <w:t xml:space="preserve">0.9336</w:t>
            </w:r>
          </w:p>
        </w:tc>
        <w:tc>
          <w:tcPr>
            <w:tcW w:type="dxa" w:w="1285"/>
            <w:tcMar>
              <w:top w:type="dxa" w:w="60"/>
              <w:left w:type="dxa" w:w="90"/>
              <w:bottom w:type="dxa" w:w="60"/>
              <w:right w:type="dxa" w:w="90"/>
            </w:tcMar>
          </w:tcPr>
          <w:p>
            <w:r>
              <w:rPr>
                <w:b w:val="false"/>
                <w:bCs w:val="false"/>
                <w:sz w:val="18"/>
                <w:szCs w:val="18"/>
              </w:rPr>
              <w:t xml:space="preserve">0.9752</w:t>
            </w:r>
          </w:p>
        </w:tc>
        <w:tc>
          <w:tcPr>
            <w:tcW w:type="dxa" w:w="1193"/>
            <w:tcMar>
              <w:top w:type="dxa" w:w="60"/>
              <w:left w:type="dxa" w:w="90"/>
              <w:bottom w:type="dxa" w:w="60"/>
              <w:right w:type="dxa" w:w="90"/>
            </w:tcMar>
          </w:tcPr>
          <w:p>
            <w:r>
              <w:rPr>
                <w:b w:val="false"/>
                <w:bCs w:val="false"/>
                <w:sz w:val="18"/>
                <w:szCs w:val="18"/>
              </w:rPr>
              <w:t xml:space="preserve">0.947</w:t>
            </w:r>
          </w:p>
        </w:tc>
        <w:tc>
          <w:tcPr>
            <w:tcW w:type="dxa" w:w="1560"/>
            <w:tcMar>
              <w:top w:type="dxa" w:w="60"/>
              <w:left w:type="dxa" w:w="90"/>
              <w:bottom w:type="dxa" w:w="60"/>
              <w:right w:type="dxa" w:w="90"/>
            </w:tcMar>
          </w:tcPr>
          <w:p>
            <w:r>
              <w:rPr>
                <w:b w:val="false"/>
                <w:bCs w:val="false"/>
                <w:sz w:val="18"/>
                <w:szCs w:val="18"/>
              </w:rPr>
              <w:t xml:space="preserve">0.0038</w:t>
            </w:r>
          </w:p>
        </w:tc>
        <w:tc>
          <w:tcPr>
            <w:tcW w:type="dxa" w:w="1652"/>
            <w:tcMar>
              <w:top w:type="dxa" w:w="60"/>
              <w:left w:type="dxa" w:w="90"/>
              <w:bottom w:type="dxa" w:w="60"/>
              <w:right w:type="dxa" w:w="90"/>
            </w:tcMar>
          </w:tcPr>
          <w:p>
            <w:r>
              <w:rPr>
                <w:b w:val="false"/>
                <w:bCs w:val="false"/>
                <w:sz w:val="18"/>
                <w:szCs w:val="18"/>
              </w:rPr>
              <w:t xml:space="preserve">0.0511</w:t>
            </w:r>
          </w:p>
        </w:tc>
      </w:tr>
      <w:tr>
        <w:tc>
          <w:tcPr>
            <w:tcW w:type="dxa" w:w="2386"/>
            <w:tcMar>
              <w:top w:type="dxa" w:w="60"/>
              <w:left w:type="dxa" w:w="90"/>
              <w:bottom w:type="dxa" w:w="60"/>
              <w:right w:type="dxa" w:w="90"/>
            </w:tcMar>
          </w:tcPr>
          <w:p>
            <w:r>
              <w:rPr>
                <w:b w:val="false"/>
                <w:bCs w:val="false"/>
                <w:sz w:val="18"/>
                <w:szCs w:val="18"/>
              </w:rPr>
              <w:t xml:space="preserve">Decision Tree</w:t>
            </w:r>
          </w:p>
        </w:tc>
        <w:tc>
          <w:tcPr>
            <w:tcW w:type="dxa" w:w="1285"/>
            <w:tcMar>
              <w:top w:type="dxa" w:w="60"/>
              <w:left w:type="dxa" w:w="90"/>
              <w:bottom w:type="dxa" w:w="60"/>
              <w:right w:type="dxa" w:w="90"/>
            </w:tcMar>
          </w:tcPr>
          <w:p>
            <w:r>
              <w:rPr>
                <w:b w:val="false"/>
                <w:bCs w:val="false"/>
                <w:sz w:val="18"/>
                <w:szCs w:val="18"/>
              </w:rPr>
              <w:t xml:space="preserve">0.8158</w:t>
            </w:r>
          </w:p>
        </w:tc>
        <w:tc>
          <w:tcPr>
            <w:tcW w:type="dxa" w:w="1285"/>
            <w:tcMar>
              <w:top w:type="dxa" w:w="60"/>
              <w:left w:type="dxa" w:w="90"/>
              <w:bottom w:type="dxa" w:w="60"/>
              <w:right w:type="dxa" w:w="90"/>
            </w:tcMar>
          </w:tcPr>
          <w:p>
            <w:r>
              <w:rPr>
                <w:b w:val="false"/>
                <w:bCs w:val="false"/>
                <w:sz w:val="18"/>
                <w:szCs w:val="18"/>
              </w:rPr>
              <w:t xml:space="preserve">—</w:t>
            </w:r>
          </w:p>
        </w:tc>
        <w:tc>
          <w:tcPr>
            <w:tcW w:type="dxa" w:w="1193"/>
            <w:tcMar>
              <w:top w:type="dxa" w:w="60"/>
              <w:left w:type="dxa" w:w="90"/>
              <w:bottom w:type="dxa" w:w="60"/>
              <w:right w:type="dxa" w:w="90"/>
            </w:tcMar>
          </w:tcPr>
          <w:p>
            <w:r>
              <w:rPr>
                <w:b w:val="false"/>
                <w:bCs w:val="false"/>
                <w:sz w:val="18"/>
                <w:szCs w:val="18"/>
              </w:rPr>
              <w:t xml:space="preserve">0.876</w:t>
            </w:r>
          </w:p>
        </w:tc>
        <w:tc>
          <w:tcPr>
            <w:tcW w:type="dxa" w:w="1560"/>
            <w:tcMar>
              <w:top w:type="dxa" w:w="60"/>
              <w:left w:type="dxa" w:w="90"/>
              <w:bottom w:type="dxa" w:w="60"/>
              <w:right w:type="dxa" w:w="90"/>
            </w:tcMar>
          </w:tcPr>
          <w:p>
            <w:r>
              <w:rPr>
                <w:b w:val="false"/>
                <w:bCs w:val="false"/>
                <w:sz w:val="18"/>
                <w:szCs w:val="18"/>
              </w:rPr>
              <w:t xml:space="preserve">0.0146</w:t>
            </w:r>
          </w:p>
        </w:tc>
        <w:tc>
          <w:tcPr>
            <w:tcW w:type="dxa" w:w="1652"/>
            <w:tcMar>
              <w:top w:type="dxa" w:w="60"/>
              <w:left w:type="dxa" w:w="90"/>
              <w:bottom w:type="dxa" w:w="60"/>
              <w:right w:type="dxa" w:w="90"/>
            </w:tcMar>
          </w:tcPr>
          <w:p>
            <w:r>
              <w:rPr>
                <w:b w:val="false"/>
                <w:bCs w:val="false"/>
                <w:sz w:val="18"/>
                <w:szCs w:val="18"/>
              </w:rPr>
              <w:t xml:space="preserve">—</w:t>
            </w:r>
          </w:p>
        </w:tc>
      </w:tr>
    </w:tbl>
    <w:p>
      <w:pPr>
        <w:spacing w:after="160"/>
      </w:pPr>
      <w:r>
        <w:rPr>
          <w:i/>
          <w:iCs/>
          <w:sz w:val="18"/>
          <w:szCs w:val="18"/>
        </w:rPr>
        <w:t xml:space="preserve">Three seeds, 25 folds per seed. Base rate 8.8%, 69 dropout cases.</w:t>
      </w:r>
    </w:p>
    <w:p>
      <w:pPr>
        <w:spacing w:after="140"/>
      </w:pPr>
      <w:r>
        <w:rPr>
          <w:sz w:val="22"/>
          <w:szCs w:val="22"/>
        </w:rPr>
        <w:t xml:space="preserve">Random Forest attains the highest mean AUC-PR, exceeding LightGBM by 0.0056, a margin larger than the between-seed standard deviation of either. LightGBM is nonetheless the substrate for the experimental comparison because it is the only classifier among the six that accepts a fully custom training objective, which the intervention requires (M11). This is a capability constraint, not a performance claim.</w:t>
      </w:r>
    </w:p>
    <w:p>
      <w:pPr>
        <w:spacing w:after="140"/>
      </w:pPr>
      <w:r>
        <w:rPr>
          <w:sz w:val="22"/>
          <w:szCs w:val="22"/>
        </w:rPr>
        <w:t xml:space="preserve">Two observations bear on interpretation. First, all six classifiers exceed 0.81 AUC-PR against a base rate of 0.088, and four exceed 0.96; the task is highly separable from school records alone. Second, the within-seed fold standard deviation exceeds the between-seed standard deviation by roughly an order of magnitude in every case, which is why both are reported.</w:t>
      </w:r>
    </w:p>
    <w:p>
      <w:pPr>
        <w:pStyle w:val="Heading1"/>
        <w:spacing w:after="160" w:before="280"/>
      </w:pPr>
      <w:r>
        <w:t xml:space="preserve">R3  Primary contrast: focal loss against cross-entropy</w:t>
      </w:r>
    </w:p>
    <w:p>
      <w:pPr>
        <w:spacing w:after="140"/>
      </w:pPr>
      <w:r>
        <w:rPr>
          <w:sz w:val="22"/>
          <w:szCs w:val="22"/>
        </w:rPr>
        <w:t xml:space="preserve">The primary comparison holds the 15-column feature matrix, the hyperparameter configuration and the class-weighting mechanism constant, varying only the objective argument.</w:t>
      </w:r>
    </w:p>
    <w:p>
      <w:pPr>
        <w:spacing w:after="140"/>
      </w:pPr>
      <w:r>
        <w:rPr>
          <w:sz w:val="22"/>
          <w:szCs w:val="22"/>
        </w:rPr>
        <w:t xml:space="preserve">Focal loss produces a mean AUC-PR 0.0033 lower than binary cross-entropy (95% CI −0.0043 to −0.0024). Cross-entropy is favoured in 10 of 10 seeds. The between-seed standard deviation of the difference is 0.0006, smaller than the effect itself by a factor of five.</w:t>
      </w:r>
    </w:p>
    <w:p>
      <w:pPr>
        <w:spacing w:after="80" w:before="160"/>
      </w:pPr>
      <w:r>
        <w:rPr>
          <w:b/>
          <w:bCs/>
          <w:sz w:val="20"/>
          <w:szCs w:val="20"/>
        </w:rPr>
        <w:t xml:space="preserve">Table R2. Paired contrasts, each labelled by the number of components varied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91"/>
        <w:gridCol w:w="1498"/>
        <w:gridCol w:w="1872"/>
        <w:gridCol w:w="1591"/>
      </w:tblGrid>
      <w:tr>
        <w:trPr>
          <w:tblHeader/>
        </w:trPr>
        <w:tc>
          <w:tcPr>
            <w:tcW w:type="dxa" w:w="2808"/>
            <w:shd w:fill="E8EDF2" w:val="clear"/>
            <w:tcMar>
              <w:top w:type="dxa" w:w="60"/>
              <w:left w:type="dxa" w:w="90"/>
              <w:bottom w:type="dxa" w:w="60"/>
              <w:right w:type="dxa" w:w="90"/>
            </w:tcMar>
          </w:tcPr>
          <w:p>
            <w:r>
              <w:rPr>
                <w:b/>
                <w:bCs/>
                <w:sz w:val="18"/>
                <w:szCs w:val="18"/>
              </w:rPr>
              <w:t xml:space="preserve">Contrast</w:t>
            </w:r>
          </w:p>
        </w:tc>
        <w:tc>
          <w:tcPr>
            <w:tcW w:type="dxa" w:w="1591"/>
            <w:shd w:fill="E8EDF2" w:val="clear"/>
            <w:tcMar>
              <w:top w:type="dxa" w:w="60"/>
              <w:left w:type="dxa" w:w="90"/>
              <w:bottom w:type="dxa" w:w="60"/>
              <w:right w:type="dxa" w:w="90"/>
            </w:tcMar>
          </w:tcPr>
          <w:p>
            <w:r>
              <w:rPr>
                <w:b/>
                <w:bCs/>
                <w:sz w:val="18"/>
                <w:szCs w:val="18"/>
              </w:rPr>
              <w:t xml:space="preserve">Components varied</w:t>
            </w:r>
          </w:p>
        </w:tc>
        <w:tc>
          <w:tcPr>
            <w:tcW w:type="dxa" w:w="1498"/>
            <w:shd w:fill="E8EDF2" w:val="clear"/>
            <w:tcMar>
              <w:top w:type="dxa" w:w="60"/>
              <w:left w:type="dxa" w:w="90"/>
              <w:bottom w:type="dxa" w:w="60"/>
              <w:right w:type="dxa" w:w="90"/>
            </w:tcMar>
          </w:tcPr>
          <w:p>
            <w:r>
              <w:rPr>
                <w:b/>
                <w:bCs/>
                <w:sz w:val="18"/>
                <w:szCs w:val="18"/>
              </w:rPr>
              <w:t xml:space="preserve">Mean difference</w:t>
            </w:r>
          </w:p>
        </w:tc>
        <w:tc>
          <w:tcPr>
            <w:tcW w:type="dxa" w:w="1872"/>
            <w:shd w:fill="E8EDF2" w:val="clear"/>
            <w:tcMar>
              <w:top w:type="dxa" w:w="60"/>
              <w:left w:type="dxa" w:w="90"/>
              <w:bottom w:type="dxa" w:w="60"/>
              <w:right w:type="dxa" w:w="90"/>
            </w:tcMar>
          </w:tcPr>
          <w:p>
            <w:r>
              <w:rPr>
                <w:b/>
                <w:bCs/>
                <w:sz w:val="18"/>
                <w:szCs w:val="18"/>
              </w:rPr>
              <w:t xml:space="preserve">95% CI</w:t>
            </w:r>
          </w:p>
        </w:tc>
        <w:tc>
          <w:tcPr>
            <w:tcW w:type="dxa" w:w="1591"/>
            <w:shd w:fill="E8EDF2" w:val="clear"/>
            <w:tcMar>
              <w:top w:type="dxa" w:w="60"/>
              <w:left w:type="dxa" w:w="90"/>
              <w:bottom w:type="dxa" w:w="60"/>
              <w:right w:type="dxa" w:w="90"/>
            </w:tcMar>
          </w:tcPr>
          <w:p>
            <w:r>
              <w:rPr>
                <w:b/>
                <w:bCs/>
                <w:sz w:val="18"/>
                <w:szCs w:val="18"/>
              </w:rPr>
              <w:t xml:space="preserve">Seeds favouring reference</w:t>
            </w:r>
          </w:p>
        </w:tc>
      </w:tr>
      <w:tr>
        <w:tc>
          <w:tcPr>
            <w:tcW w:type="dxa" w:w="2808"/>
            <w:tcMar>
              <w:top w:type="dxa" w:w="60"/>
              <w:left w:type="dxa" w:w="90"/>
              <w:bottom w:type="dxa" w:w="60"/>
              <w:right w:type="dxa" w:w="90"/>
            </w:tcMar>
          </w:tcPr>
          <w:p>
            <w:r>
              <w:rPr>
                <w:b w:val="false"/>
                <w:bCs w:val="false"/>
                <w:sz w:val="18"/>
                <w:szCs w:val="18"/>
              </w:rPr>
              <w:t xml:space="preserve">Focal vs cross-entropy (primary)</w:t>
            </w:r>
          </w:p>
        </w:tc>
        <w:tc>
          <w:tcPr>
            <w:tcW w:type="dxa" w:w="1591"/>
            <w:tcMar>
              <w:top w:type="dxa" w:w="60"/>
              <w:left w:type="dxa" w:w="90"/>
              <w:bottom w:type="dxa" w:w="60"/>
              <w:right w:type="dxa" w:w="90"/>
            </w:tcMar>
          </w:tcPr>
          <w:p>
            <w:r>
              <w:rPr>
                <w:b w:val="false"/>
                <w:bCs w:val="false"/>
                <w:sz w:val="18"/>
                <w:szCs w:val="18"/>
              </w:rPr>
              <w:t xml:space="preserve">1  (objective)</w:t>
            </w:r>
          </w:p>
        </w:tc>
        <w:tc>
          <w:tcPr>
            <w:tcW w:type="dxa" w:w="1498"/>
            <w:tcMar>
              <w:top w:type="dxa" w:w="60"/>
              <w:left w:type="dxa" w:w="90"/>
              <w:bottom w:type="dxa" w:w="60"/>
              <w:right w:type="dxa" w:w="90"/>
            </w:tcMar>
          </w:tcPr>
          <w:p>
            <w:r>
              <w:rPr>
                <w:b w:val="false"/>
                <w:bCs w:val="false"/>
                <w:sz w:val="18"/>
                <w:szCs w:val="18"/>
              </w:rPr>
              <w:t xml:space="preserve">−0.0033</w:t>
            </w:r>
          </w:p>
        </w:tc>
        <w:tc>
          <w:tcPr>
            <w:tcW w:type="dxa" w:w="1872"/>
            <w:tcMar>
              <w:top w:type="dxa" w:w="60"/>
              <w:left w:type="dxa" w:w="90"/>
              <w:bottom w:type="dxa" w:w="60"/>
              <w:right w:type="dxa" w:w="90"/>
            </w:tcMar>
          </w:tcPr>
          <w:p>
            <w:r>
              <w:rPr>
                <w:b w:val="false"/>
                <w:bCs w:val="false"/>
                <w:sz w:val="18"/>
                <w:szCs w:val="18"/>
              </w:rPr>
              <w:t xml:space="preserve">−0.0043 to −0.0024</w:t>
            </w:r>
          </w:p>
        </w:tc>
        <w:tc>
          <w:tcPr>
            <w:tcW w:type="dxa" w:w="1591"/>
            <w:tcMar>
              <w:top w:type="dxa" w:w="60"/>
              <w:left w:type="dxa" w:w="90"/>
              <w:bottom w:type="dxa" w:w="60"/>
              <w:right w:type="dxa" w:w="90"/>
            </w:tcMar>
          </w:tcPr>
          <w:p>
            <w:r>
              <w:rPr>
                <w:b w:val="false"/>
                <w:bCs w:val="false"/>
                <w:sz w:val="18"/>
                <w:szCs w:val="18"/>
              </w:rPr>
              <w:t xml:space="preserve">10 / 10</w:t>
            </w:r>
          </w:p>
        </w:tc>
      </w:tr>
      <w:tr>
        <w:tc>
          <w:tcPr>
            <w:tcW w:type="dxa" w:w="2808"/>
            <w:tcMar>
              <w:top w:type="dxa" w:w="60"/>
              <w:left w:type="dxa" w:w="90"/>
              <w:bottom w:type="dxa" w:w="60"/>
              <w:right w:type="dxa" w:w="90"/>
            </w:tcMar>
          </w:tcPr>
          <w:p>
            <w:r>
              <w:rPr>
                <w:b w:val="false"/>
                <w:bCs w:val="false"/>
                <w:sz w:val="18"/>
                <w:szCs w:val="18"/>
              </w:rPr>
              <w:t xml:space="preserve">Focal on records without composite</w:t>
            </w:r>
          </w:p>
        </w:tc>
        <w:tc>
          <w:tcPr>
            <w:tcW w:type="dxa" w:w="1591"/>
            <w:tcMar>
              <w:top w:type="dxa" w:w="60"/>
              <w:left w:type="dxa" w:w="90"/>
              <w:bottom w:type="dxa" w:w="60"/>
              <w:right w:type="dxa" w:w="90"/>
            </w:tcMar>
          </w:tcPr>
          <w:p>
            <w:r>
              <w:rPr>
                <w:b w:val="false"/>
                <w:bCs w:val="false"/>
                <w:sz w:val="18"/>
                <w:szCs w:val="18"/>
              </w:rPr>
              <w:t xml:space="preserve">1  (objective)</w:t>
            </w:r>
          </w:p>
        </w:tc>
        <w:tc>
          <w:tcPr>
            <w:tcW w:type="dxa" w:w="1498"/>
            <w:tcMar>
              <w:top w:type="dxa" w:w="60"/>
              <w:left w:type="dxa" w:w="90"/>
              <w:bottom w:type="dxa" w:w="60"/>
              <w:right w:type="dxa" w:w="90"/>
            </w:tcMar>
          </w:tcPr>
          <w:p>
            <w:r>
              <w:rPr>
                <w:b w:val="false"/>
                <w:bCs w:val="false"/>
                <w:sz w:val="18"/>
                <w:szCs w:val="18"/>
              </w:rPr>
              <w:t xml:space="preserve">−0.0034</w:t>
            </w:r>
          </w:p>
        </w:tc>
        <w:tc>
          <w:tcPr>
            <w:tcW w:type="dxa" w:w="1872"/>
            <w:tcMar>
              <w:top w:type="dxa" w:w="60"/>
              <w:left w:type="dxa" w:w="90"/>
              <w:bottom w:type="dxa" w:w="60"/>
              <w:right w:type="dxa" w:w="90"/>
            </w:tcMar>
          </w:tcPr>
          <w:p>
            <w:r>
              <w:rPr>
                <w:b w:val="false"/>
                <w:bCs w:val="false"/>
                <w:sz w:val="18"/>
                <w:szCs w:val="18"/>
              </w:rPr>
              <w:t xml:space="preserve">−0.0043 to −0.0024</w:t>
            </w:r>
          </w:p>
        </w:tc>
        <w:tc>
          <w:tcPr>
            <w:tcW w:type="dxa" w:w="1591"/>
            <w:tcMar>
              <w:top w:type="dxa" w:w="60"/>
              <w:left w:type="dxa" w:w="90"/>
              <w:bottom w:type="dxa" w:w="60"/>
              <w:right w:type="dxa" w:w="90"/>
            </w:tcMar>
          </w:tcPr>
          <w:p>
            <w:r>
              <w:rPr>
                <w:b w:val="false"/>
                <w:bCs w:val="false"/>
                <w:sz w:val="18"/>
                <w:szCs w:val="18"/>
              </w:rPr>
              <w:t xml:space="preserve">10 / 10</w:t>
            </w:r>
          </w:p>
        </w:tc>
      </w:tr>
      <w:tr>
        <w:tc>
          <w:tcPr>
            <w:tcW w:type="dxa" w:w="2808"/>
            <w:tcMar>
              <w:top w:type="dxa" w:w="60"/>
              <w:left w:type="dxa" w:w="90"/>
              <w:bottom w:type="dxa" w:w="60"/>
              <w:right w:type="dxa" w:w="90"/>
            </w:tcMar>
          </w:tcPr>
          <w:p>
            <w:r>
              <w:rPr>
                <w:b w:val="false"/>
                <w:bCs w:val="false"/>
                <w:sz w:val="18"/>
                <w:szCs w:val="18"/>
              </w:rPr>
              <w:t xml:space="preserve">Attendance composite added</w:t>
            </w:r>
          </w:p>
        </w:tc>
        <w:tc>
          <w:tcPr>
            <w:tcW w:type="dxa" w:w="1591"/>
            <w:tcMar>
              <w:top w:type="dxa" w:w="60"/>
              <w:left w:type="dxa" w:w="90"/>
              <w:bottom w:type="dxa" w:w="60"/>
              <w:right w:type="dxa" w:w="90"/>
            </w:tcMar>
          </w:tcPr>
          <w:p>
            <w:r>
              <w:rPr>
                <w:b w:val="false"/>
                <w:bCs w:val="false"/>
                <w:sz w:val="18"/>
                <w:szCs w:val="18"/>
              </w:rPr>
              <w:t xml:space="preserve">1  (features)</w:t>
            </w:r>
          </w:p>
        </w:tc>
        <w:tc>
          <w:tcPr>
            <w:tcW w:type="dxa" w:w="1498"/>
            <w:tcMar>
              <w:top w:type="dxa" w:w="60"/>
              <w:left w:type="dxa" w:w="90"/>
              <w:bottom w:type="dxa" w:w="60"/>
              <w:right w:type="dxa" w:w="90"/>
            </w:tcMar>
          </w:tcPr>
          <w:p>
            <w:r>
              <w:rPr>
                <w:b w:val="false"/>
                <w:bCs w:val="false"/>
                <w:sz w:val="18"/>
                <w:szCs w:val="18"/>
              </w:rPr>
              <w:t xml:space="preserve">−0.0005</w:t>
            </w:r>
          </w:p>
        </w:tc>
        <w:tc>
          <w:tcPr>
            <w:tcW w:type="dxa" w:w="1872"/>
            <w:tcMar>
              <w:top w:type="dxa" w:w="60"/>
              <w:left w:type="dxa" w:w="90"/>
              <w:bottom w:type="dxa" w:w="60"/>
              <w:right w:type="dxa" w:w="90"/>
            </w:tcMar>
          </w:tcPr>
          <w:p>
            <w:r>
              <w:rPr>
                <w:b w:val="false"/>
                <w:bCs w:val="false"/>
                <w:sz w:val="18"/>
                <w:szCs w:val="18"/>
              </w:rPr>
              <w:t xml:space="preserve">−0.0012 to +0.0003</w:t>
            </w:r>
          </w:p>
        </w:tc>
        <w:tc>
          <w:tcPr>
            <w:tcW w:type="dxa" w:w="1591"/>
            <w:tcMar>
              <w:top w:type="dxa" w:w="60"/>
              <w:left w:type="dxa" w:w="90"/>
              <w:bottom w:type="dxa" w:w="60"/>
              <w:right w:type="dxa" w:w="90"/>
            </w:tcMar>
          </w:tcPr>
          <w:p>
            <w:r>
              <w:rPr>
                <w:b w:val="false"/>
                <w:bCs w:val="false"/>
                <w:sz w:val="18"/>
                <w:szCs w:val="18"/>
              </w:rPr>
              <w:t xml:space="preserve">6 / 10</w:t>
            </w:r>
          </w:p>
        </w:tc>
      </w:tr>
      <w:tr>
        <w:tc>
          <w:tcPr>
            <w:tcW w:type="dxa" w:w="2808"/>
            <w:tcMar>
              <w:top w:type="dxa" w:w="60"/>
              <w:left w:type="dxa" w:w="90"/>
              <w:bottom w:type="dxa" w:w="60"/>
              <w:right w:type="dxa" w:w="90"/>
            </w:tcMar>
          </w:tcPr>
          <w:p>
            <w:r>
              <w:rPr>
                <w:b w:val="false"/>
                <w:bCs w:val="false"/>
                <w:sz w:val="18"/>
                <w:szCs w:val="18"/>
              </w:rPr>
              <w:t xml:space="preserve">Reweighting added, cross-entropy</w:t>
            </w:r>
          </w:p>
        </w:tc>
        <w:tc>
          <w:tcPr>
            <w:tcW w:type="dxa" w:w="1591"/>
            <w:tcMar>
              <w:top w:type="dxa" w:w="60"/>
              <w:left w:type="dxa" w:w="90"/>
              <w:bottom w:type="dxa" w:w="60"/>
              <w:right w:type="dxa" w:w="90"/>
            </w:tcMar>
          </w:tcPr>
          <w:p>
            <w:r>
              <w:rPr>
                <w:b w:val="false"/>
                <w:bCs w:val="false"/>
                <w:sz w:val="18"/>
                <w:szCs w:val="18"/>
              </w:rPr>
              <w:t xml:space="preserve">1  (weighting)</w:t>
            </w:r>
          </w:p>
        </w:tc>
        <w:tc>
          <w:tcPr>
            <w:tcW w:type="dxa" w:w="1498"/>
            <w:tcMar>
              <w:top w:type="dxa" w:w="60"/>
              <w:left w:type="dxa" w:w="90"/>
              <w:bottom w:type="dxa" w:w="60"/>
              <w:right w:type="dxa" w:w="90"/>
            </w:tcMar>
          </w:tcPr>
          <w:p>
            <w:r>
              <w:rPr>
                <w:b w:val="false"/>
                <w:bCs w:val="false"/>
                <w:sz w:val="18"/>
                <w:szCs w:val="18"/>
              </w:rPr>
              <w:t xml:space="preserve">−0.0012</w:t>
            </w:r>
          </w:p>
        </w:tc>
        <w:tc>
          <w:tcPr>
            <w:tcW w:type="dxa" w:w="1872"/>
            <w:tcMar>
              <w:top w:type="dxa" w:w="60"/>
              <w:left w:type="dxa" w:w="90"/>
              <w:bottom w:type="dxa" w:w="60"/>
              <w:right w:type="dxa" w:w="90"/>
            </w:tcMar>
          </w:tcPr>
          <w:p>
            <w:r>
              <w:rPr>
                <w:b w:val="false"/>
                <w:bCs w:val="false"/>
                <w:sz w:val="18"/>
                <w:szCs w:val="18"/>
              </w:rPr>
              <w:t xml:space="preserve">−0.0018 to −0.0005</w:t>
            </w:r>
          </w:p>
        </w:tc>
        <w:tc>
          <w:tcPr>
            <w:tcW w:type="dxa" w:w="1591"/>
            <w:tcMar>
              <w:top w:type="dxa" w:w="60"/>
              <w:left w:type="dxa" w:w="90"/>
              <w:bottom w:type="dxa" w:w="60"/>
              <w:right w:type="dxa" w:w="90"/>
            </w:tcMar>
          </w:tcPr>
          <w:p>
            <w:r>
              <w:rPr>
                <w:b w:val="false"/>
                <w:bCs w:val="false"/>
                <w:sz w:val="18"/>
                <w:szCs w:val="18"/>
              </w:rPr>
              <w:t xml:space="preserve">9 / 10</w:t>
            </w:r>
          </w:p>
        </w:tc>
      </w:tr>
      <w:tr>
        <w:tc>
          <w:tcPr>
            <w:tcW w:type="dxa" w:w="2808"/>
            <w:tcMar>
              <w:top w:type="dxa" w:w="60"/>
              <w:left w:type="dxa" w:w="90"/>
              <w:bottom w:type="dxa" w:w="60"/>
              <w:right w:type="dxa" w:w="90"/>
            </w:tcMar>
          </w:tcPr>
          <w:p>
            <w:r>
              <w:rPr>
                <w:b w:val="false"/>
                <w:bCs w:val="false"/>
                <w:sz w:val="18"/>
                <w:szCs w:val="18"/>
              </w:rPr>
              <w:t xml:space="preserve">Contrast as previously reported</w:t>
            </w:r>
          </w:p>
        </w:tc>
        <w:tc>
          <w:tcPr>
            <w:tcW w:type="dxa" w:w="1591"/>
            <w:tcMar>
              <w:top w:type="dxa" w:w="60"/>
              <w:left w:type="dxa" w:w="90"/>
              <w:bottom w:type="dxa" w:w="60"/>
              <w:right w:type="dxa" w:w="90"/>
            </w:tcMar>
          </w:tcPr>
          <w:p>
            <w:r>
              <w:rPr>
                <w:b w:val="false"/>
                <w:bCs w:val="false"/>
                <w:sz w:val="18"/>
                <w:szCs w:val="18"/>
              </w:rPr>
              <w:t xml:space="preserve">3  (all of the above)</w:t>
            </w:r>
          </w:p>
        </w:tc>
        <w:tc>
          <w:tcPr>
            <w:tcW w:type="dxa" w:w="1498"/>
            <w:tcMar>
              <w:top w:type="dxa" w:w="60"/>
              <w:left w:type="dxa" w:w="90"/>
              <w:bottom w:type="dxa" w:w="60"/>
              <w:right w:type="dxa" w:w="90"/>
            </w:tcMar>
          </w:tcPr>
          <w:p>
            <w:r>
              <w:rPr>
                <w:b w:val="false"/>
                <w:bCs w:val="false"/>
                <w:sz w:val="18"/>
                <w:szCs w:val="18"/>
              </w:rPr>
              <w:t xml:space="preserve">−0.0019</w:t>
            </w:r>
          </w:p>
        </w:tc>
        <w:tc>
          <w:tcPr>
            <w:tcW w:type="dxa" w:w="1872"/>
            <w:tcMar>
              <w:top w:type="dxa" w:w="60"/>
              <w:left w:type="dxa" w:w="90"/>
              <w:bottom w:type="dxa" w:w="60"/>
              <w:right w:type="dxa" w:w="90"/>
            </w:tcMar>
          </w:tcPr>
          <w:p>
            <w:r>
              <w:rPr>
                <w:b w:val="false"/>
                <w:bCs w:val="false"/>
                <w:sz w:val="18"/>
                <w:szCs w:val="18"/>
              </w:rPr>
              <w:t xml:space="preserve">−0.0030 to −0.0009</w:t>
            </w:r>
          </w:p>
        </w:tc>
        <w:tc>
          <w:tcPr>
            <w:tcW w:type="dxa" w:w="1591"/>
            <w:tcMar>
              <w:top w:type="dxa" w:w="60"/>
              <w:left w:type="dxa" w:w="90"/>
              <w:bottom w:type="dxa" w:w="60"/>
              <w:right w:type="dxa" w:w="90"/>
            </w:tcMar>
          </w:tcPr>
          <w:p>
            <w:r>
              <w:rPr>
                <w:b w:val="false"/>
                <w:bCs w:val="false"/>
                <w:sz w:val="18"/>
                <w:szCs w:val="18"/>
              </w:rPr>
              <w:t xml:space="preserve">8 / 10</w:t>
            </w:r>
          </w:p>
        </w:tc>
      </w:tr>
    </w:tbl>
    <w:p>
      <w:pPr>
        <w:spacing w:after="140"/>
      </w:pPr>
      <w:r>
        <w:rPr>
          <w:sz w:val="22"/>
          <w:szCs w:val="22"/>
        </w:rPr>
        <w:t xml:space="preserve">The contrast reported in the previous revision varied the feature set, the objective and the class-weighting correction simultaneously, and gave a smaller apparent difference (−0.0019) than the matched contrast (−0.0033). Isolating the objective therefore increases rather than diminishes the measured disadvantage.</w:t>
      </w:r>
    </w:p>
    <w:p>
      <w:pPr>
        <w:spacing w:after="140"/>
      </w:pPr>
      <w:r>
        <w:rPr>
          <w:sz w:val="22"/>
          <w:szCs w:val="22"/>
        </w:rPr>
        <w:t xml:space="preserve">The cell that isolates the objective on the baseline's own feature space, absent from the previous revision, gives −0.0034 and is indistinguishable from the primary contrast, confirming that the result does not depend on the engineered feature.</w:t>
      </w:r>
    </w:p>
    <w:p>
      <w:pPr>
        <w:spacing w:after="140"/>
      </w:pPr>
      <w:r>
        <w:rPr>
          <w:sz w:val="22"/>
          <w:szCs w:val="22"/>
        </w:rPr>
        <w:t xml:space="preserve">Power. The standard deviation of the paired fold differences within a seed yields a minimum detectable effect of 0.0044 at α = 0.05 and 80% power on 25 paired folds, marginally above the observed effect of 0.0033. A single seed is therefore insufficient to establish the difference, and individual-seed Wilcoxon tests reach significance in only 3 of 10 seeds. The result rests instead on replication: the sign is identical in all ten seeds and the bootstrap confidence interval over all folds excludes zero. The corresponding unpaired calculation, used in the previous revision, gives a minimum detectable effect of 0.0854 — roughly twenty times larger — because it ignores the correlation between arms evaluated on the same folds.</w:t>
      </w:r>
    </w:p>
    <w:p>
      <w:pPr>
        <w:spacing w:after="140"/>
      </w:pPr>
      <w:r>
        <w:rPr>
          <w:sz w:val="22"/>
          <w:szCs w:val="22"/>
        </w:rPr>
        <w:t xml:space="preserve">The result is therefore a small, reliable disadvantage rather than an inconclusive null, and it is reported as such. Its practical significance is addressed in R8 and R9.</w:t>
      </w:r>
    </w:p>
    <w:p>
      <w:pPr>
        <w:pStyle w:val="Heading1"/>
        <w:spacing w:after="160" w:before="280"/>
      </w:pPr>
      <w:r>
        <w:t xml:space="preserve">R4  Sensitivity to the focal parameters</w:t>
      </w:r>
    </w:p>
    <w:p>
      <w:pPr>
        <w:spacing w:after="140"/>
      </w:pPr>
      <w:r>
        <w:rPr>
          <w:sz w:val="22"/>
          <w:szCs w:val="22"/>
        </w:rPr>
        <w:t xml:space="preserve">The focusing exponent γ and the class-weighting scalar α were varied over a grid, since a result at a single parameter setting does not characterise a method.</w:t>
      </w:r>
    </w:p>
    <w:p>
      <w:pPr>
        <w:spacing w:after="80" w:before="160"/>
      </w:pPr>
      <w:r>
        <w:rPr>
          <w:b/>
          <w:bCs/>
          <w:sz w:val="20"/>
          <w:szCs w:val="20"/>
        </w:rPr>
        <w:t xml:space="preserve">Table R3. Mean AUC-PR difference, focal minus cross-entropy, by γ and 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340"/>
        <w:gridCol w:w="2340"/>
        <w:gridCol w:w="2246"/>
      </w:tblGrid>
      <w:tr>
        <w:trPr>
          <w:tblHeader/>
        </w:trPr>
        <w:tc>
          <w:tcPr>
            <w:tcW w:type="dxa" w:w="2434"/>
            <w:shd w:fill="E8EDF2" w:val="clear"/>
            <w:tcMar>
              <w:top w:type="dxa" w:w="60"/>
              <w:left w:type="dxa" w:w="90"/>
              <w:bottom w:type="dxa" w:w="60"/>
              <w:right w:type="dxa" w:w="90"/>
            </w:tcMar>
          </w:tcPr>
          <w:p>
            <w:r>
              <w:rPr>
                <w:b/>
                <w:bCs/>
                <w:sz w:val="18"/>
                <w:szCs w:val="18"/>
              </w:rPr>
              <w:t xml:space="preserve">γ</w:t>
            </w:r>
          </w:p>
        </w:tc>
        <w:tc>
          <w:tcPr>
            <w:tcW w:type="dxa" w:w="2340"/>
            <w:shd w:fill="E8EDF2" w:val="clear"/>
            <w:tcMar>
              <w:top w:type="dxa" w:w="60"/>
              <w:left w:type="dxa" w:w="90"/>
              <w:bottom w:type="dxa" w:w="60"/>
              <w:right w:type="dxa" w:w="90"/>
            </w:tcMar>
          </w:tcPr>
          <w:p>
            <w:r>
              <w:rPr>
                <w:b/>
                <w:bCs/>
                <w:sz w:val="18"/>
                <w:szCs w:val="18"/>
              </w:rPr>
              <w:t xml:space="preserve">α = 0.50</w:t>
            </w:r>
          </w:p>
        </w:tc>
        <w:tc>
          <w:tcPr>
            <w:tcW w:type="dxa" w:w="2340"/>
            <w:shd w:fill="E8EDF2" w:val="clear"/>
            <w:tcMar>
              <w:top w:type="dxa" w:w="60"/>
              <w:left w:type="dxa" w:w="90"/>
              <w:bottom w:type="dxa" w:w="60"/>
              <w:right w:type="dxa" w:w="90"/>
            </w:tcMar>
          </w:tcPr>
          <w:p>
            <w:r>
              <w:rPr>
                <w:b/>
                <w:bCs/>
                <w:sz w:val="18"/>
                <w:szCs w:val="18"/>
              </w:rPr>
              <w:t xml:space="preserve">α = 0.75</w:t>
            </w:r>
          </w:p>
        </w:tc>
        <w:tc>
          <w:tcPr>
            <w:tcW w:type="dxa" w:w="2246"/>
            <w:shd w:fill="E8EDF2" w:val="clear"/>
            <w:tcMar>
              <w:top w:type="dxa" w:w="60"/>
              <w:left w:type="dxa" w:w="90"/>
              <w:bottom w:type="dxa" w:w="60"/>
              <w:right w:type="dxa" w:w="90"/>
            </w:tcMar>
          </w:tcPr>
          <w:p>
            <w:r>
              <w:rPr>
                <w:b/>
                <w:bCs/>
                <w:sz w:val="18"/>
                <w:szCs w:val="18"/>
              </w:rPr>
              <w:t xml:space="preserve">α = 0.90</w:t>
            </w:r>
          </w:p>
        </w:tc>
      </w:tr>
      <w:tr>
        <w:tc>
          <w:tcPr>
            <w:tcW w:type="dxa" w:w="2434"/>
            <w:tcMar>
              <w:top w:type="dxa" w:w="60"/>
              <w:left w:type="dxa" w:w="90"/>
              <w:bottom w:type="dxa" w:w="60"/>
              <w:right w:type="dxa" w:w="90"/>
            </w:tcMar>
          </w:tcPr>
          <w:p>
            <w:r>
              <w:rPr>
                <w:b w:val="false"/>
                <w:bCs w:val="false"/>
                <w:sz w:val="18"/>
                <w:szCs w:val="18"/>
              </w:rPr>
              <w:t xml:space="preserve">0.0</w:t>
            </w:r>
          </w:p>
        </w:tc>
        <w:tc>
          <w:tcPr>
            <w:tcW w:type="dxa" w:w="2340"/>
            <w:tcMar>
              <w:top w:type="dxa" w:w="60"/>
              <w:left w:type="dxa" w:w="90"/>
              <w:bottom w:type="dxa" w:w="60"/>
              <w:right w:type="dxa" w:w="90"/>
            </w:tcMar>
          </w:tcPr>
          <w:p>
            <w:r>
              <w:rPr>
                <w:b w:val="false"/>
                <w:bCs w:val="false"/>
                <w:sz w:val="18"/>
                <w:szCs w:val="18"/>
              </w:rPr>
              <w:t xml:space="preserve">+0.0005</w:t>
            </w:r>
          </w:p>
        </w:tc>
        <w:tc>
          <w:tcPr>
            <w:tcW w:type="dxa" w:w="2340"/>
            <w:tcMar>
              <w:top w:type="dxa" w:w="60"/>
              <w:left w:type="dxa" w:w="90"/>
              <w:bottom w:type="dxa" w:w="60"/>
              <w:right w:type="dxa" w:w="90"/>
            </w:tcMar>
          </w:tcPr>
          <w:p>
            <w:r>
              <w:rPr>
                <w:b w:val="false"/>
                <w:bCs w:val="false"/>
                <w:sz w:val="18"/>
                <w:szCs w:val="18"/>
              </w:rPr>
              <w:t xml:space="preserve">+0.0003</w:t>
            </w:r>
          </w:p>
        </w:tc>
        <w:tc>
          <w:tcPr>
            <w:tcW w:type="dxa" w:w="2246"/>
            <w:tcMar>
              <w:top w:type="dxa" w:w="60"/>
              <w:left w:type="dxa" w:w="90"/>
              <w:bottom w:type="dxa" w:w="60"/>
              <w:right w:type="dxa" w:w="90"/>
            </w:tcMar>
          </w:tcPr>
          <w:p>
            <w:r>
              <w:rPr>
                <w:b w:val="false"/>
                <w:bCs w:val="false"/>
                <w:sz w:val="18"/>
                <w:szCs w:val="18"/>
              </w:rPr>
              <w:t xml:space="preserve">−0.0011</w:t>
            </w:r>
          </w:p>
        </w:tc>
      </w:tr>
      <w:tr>
        <w:tc>
          <w:tcPr>
            <w:tcW w:type="dxa" w:w="2434"/>
            <w:tcMar>
              <w:top w:type="dxa" w:w="60"/>
              <w:left w:type="dxa" w:w="90"/>
              <w:bottom w:type="dxa" w:w="60"/>
              <w:right w:type="dxa" w:w="90"/>
            </w:tcMar>
          </w:tcPr>
          <w:p>
            <w:r>
              <w:rPr>
                <w:b w:val="false"/>
                <w:bCs w:val="false"/>
                <w:sz w:val="18"/>
                <w:szCs w:val="18"/>
              </w:rPr>
              <w:t xml:space="preserve">1.0</w:t>
            </w:r>
          </w:p>
        </w:tc>
        <w:tc>
          <w:tcPr>
            <w:tcW w:type="dxa" w:w="2340"/>
            <w:tcMar>
              <w:top w:type="dxa" w:w="60"/>
              <w:left w:type="dxa" w:w="90"/>
              <w:bottom w:type="dxa" w:w="60"/>
              <w:right w:type="dxa" w:w="90"/>
            </w:tcMar>
          </w:tcPr>
          <w:p>
            <w:r>
              <w:rPr>
                <w:b w:val="false"/>
                <w:bCs w:val="false"/>
                <w:sz w:val="18"/>
                <w:szCs w:val="18"/>
              </w:rPr>
              <w:t xml:space="preserve">−0.0017</w:t>
            </w:r>
          </w:p>
        </w:tc>
        <w:tc>
          <w:tcPr>
            <w:tcW w:type="dxa" w:w="2340"/>
            <w:tcMar>
              <w:top w:type="dxa" w:w="60"/>
              <w:left w:type="dxa" w:w="90"/>
              <w:bottom w:type="dxa" w:w="60"/>
              <w:right w:type="dxa" w:w="90"/>
            </w:tcMar>
          </w:tcPr>
          <w:p>
            <w:r>
              <w:rPr>
                <w:b w:val="false"/>
                <w:bCs w:val="false"/>
                <w:sz w:val="18"/>
                <w:szCs w:val="18"/>
              </w:rPr>
              <w:t xml:space="preserve">−0.0021</w:t>
            </w:r>
          </w:p>
        </w:tc>
        <w:tc>
          <w:tcPr>
            <w:tcW w:type="dxa" w:w="2246"/>
            <w:tcMar>
              <w:top w:type="dxa" w:w="60"/>
              <w:left w:type="dxa" w:w="90"/>
              <w:bottom w:type="dxa" w:w="60"/>
              <w:right w:type="dxa" w:w="90"/>
            </w:tcMar>
          </w:tcPr>
          <w:p>
            <w:r>
              <w:rPr>
                <w:b w:val="false"/>
                <w:bCs w:val="false"/>
                <w:sz w:val="18"/>
                <w:szCs w:val="18"/>
              </w:rPr>
              <w:t xml:space="preserve">−0.0024</w:t>
            </w:r>
          </w:p>
        </w:tc>
      </w:tr>
      <w:tr>
        <w:tc>
          <w:tcPr>
            <w:tcW w:type="dxa" w:w="2434"/>
            <w:tcMar>
              <w:top w:type="dxa" w:w="60"/>
              <w:left w:type="dxa" w:w="90"/>
              <w:bottom w:type="dxa" w:w="60"/>
              <w:right w:type="dxa" w:w="90"/>
            </w:tcMar>
          </w:tcPr>
          <w:p>
            <w:r>
              <w:rPr>
                <w:b w:val="false"/>
                <w:bCs w:val="false"/>
                <w:sz w:val="18"/>
                <w:szCs w:val="18"/>
              </w:rPr>
              <w:t xml:space="preserve">2.0  (reported)</w:t>
            </w:r>
          </w:p>
        </w:tc>
        <w:tc>
          <w:tcPr>
            <w:tcW w:type="dxa" w:w="2340"/>
            <w:tcMar>
              <w:top w:type="dxa" w:w="60"/>
              <w:left w:type="dxa" w:w="90"/>
              <w:bottom w:type="dxa" w:w="60"/>
              <w:right w:type="dxa" w:w="90"/>
            </w:tcMar>
          </w:tcPr>
          <w:p>
            <w:r>
              <w:rPr>
                <w:b w:val="false"/>
                <w:bCs w:val="false"/>
                <w:sz w:val="18"/>
                <w:szCs w:val="18"/>
              </w:rPr>
              <w:t xml:space="preserve">−0.0025</w:t>
            </w:r>
          </w:p>
        </w:tc>
        <w:tc>
          <w:tcPr>
            <w:tcW w:type="dxa" w:w="2340"/>
            <w:tcMar>
              <w:top w:type="dxa" w:w="60"/>
              <w:left w:type="dxa" w:w="90"/>
              <w:bottom w:type="dxa" w:w="60"/>
              <w:right w:type="dxa" w:w="90"/>
            </w:tcMar>
          </w:tcPr>
          <w:p>
            <w:r>
              <w:rPr>
                <w:b w:val="false"/>
                <w:bCs w:val="false"/>
                <w:sz w:val="18"/>
                <w:szCs w:val="18"/>
              </w:rPr>
              <w:t xml:space="preserve">−0.0033</w:t>
            </w:r>
          </w:p>
        </w:tc>
        <w:tc>
          <w:tcPr>
            <w:tcW w:type="dxa" w:w="2246"/>
            <w:tcMar>
              <w:top w:type="dxa" w:w="60"/>
              <w:left w:type="dxa" w:w="90"/>
              <w:bottom w:type="dxa" w:w="60"/>
              <w:right w:type="dxa" w:w="90"/>
            </w:tcMar>
          </w:tcPr>
          <w:p>
            <w:r>
              <w:rPr>
                <w:b w:val="false"/>
                <w:bCs w:val="false"/>
                <w:sz w:val="18"/>
                <w:szCs w:val="18"/>
              </w:rPr>
              <w:t xml:space="preserve">−0.0031</w:t>
            </w:r>
          </w:p>
        </w:tc>
      </w:tr>
      <w:tr>
        <w:tc>
          <w:tcPr>
            <w:tcW w:type="dxa" w:w="2434"/>
            <w:tcMar>
              <w:top w:type="dxa" w:w="60"/>
              <w:left w:type="dxa" w:w="90"/>
              <w:bottom w:type="dxa" w:w="60"/>
              <w:right w:type="dxa" w:w="90"/>
            </w:tcMar>
          </w:tcPr>
          <w:p>
            <w:r>
              <w:rPr>
                <w:b w:val="false"/>
                <w:bCs w:val="false"/>
                <w:sz w:val="18"/>
                <w:szCs w:val="18"/>
              </w:rPr>
              <w:t xml:space="preserve">5.0</w:t>
            </w:r>
          </w:p>
        </w:tc>
        <w:tc>
          <w:tcPr>
            <w:tcW w:type="dxa" w:w="2340"/>
            <w:tcMar>
              <w:top w:type="dxa" w:w="60"/>
              <w:left w:type="dxa" w:w="90"/>
              <w:bottom w:type="dxa" w:w="60"/>
              <w:right w:type="dxa" w:w="90"/>
            </w:tcMar>
          </w:tcPr>
          <w:p>
            <w:r>
              <w:rPr>
                <w:b w:val="false"/>
                <w:bCs w:val="false"/>
                <w:sz w:val="18"/>
                <w:szCs w:val="18"/>
              </w:rPr>
              <w:t xml:space="preserve">−0.0045</w:t>
            </w:r>
          </w:p>
        </w:tc>
        <w:tc>
          <w:tcPr>
            <w:tcW w:type="dxa" w:w="2340"/>
            <w:tcMar>
              <w:top w:type="dxa" w:w="60"/>
              <w:left w:type="dxa" w:w="90"/>
              <w:bottom w:type="dxa" w:w="60"/>
              <w:right w:type="dxa" w:w="90"/>
            </w:tcMar>
          </w:tcPr>
          <w:p>
            <w:r>
              <w:rPr>
                <w:b w:val="false"/>
                <w:bCs w:val="false"/>
                <w:sz w:val="18"/>
                <w:szCs w:val="18"/>
              </w:rPr>
              <w:t xml:space="preserve">−0.0048</w:t>
            </w:r>
          </w:p>
        </w:tc>
        <w:tc>
          <w:tcPr>
            <w:tcW w:type="dxa" w:w="2246"/>
            <w:tcMar>
              <w:top w:type="dxa" w:w="60"/>
              <w:left w:type="dxa" w:w="90"/>
              <w:bottom w:type="dxa" w:w="60"/>
              <w:right w:type="dxa" w:w="90"/>
            </w:tcMar>
          </w:tcPr>
          <w:p>
            <w:r>
              <w:rPr>
                <w:b w:val="false"/>
                <w:bCs w:val="false"/>
                <w:sz w:val="18"/>
                <w:szCs w:val="18"/>
              </w:rPr>
              <w:t xml:space="preserve">−0.0057</w:t>
            </w:r>
          </w:p>
        </w:tc>
      </w:tr>
    </w:tbl>
    <w:p>
      <w:pPr>
        <w:spacing w:after="160"/>
      </w:pPr>
      <w:r>
        <w:rPr>
          <w:i/>
          <w:iCs/>
          <w:sz w:val="18"/>
          <w:szCs w:val="18"/>
        </w:rPr>
        <w:t xml:space="preserve">Five seeds per cell. γ = 0 reduces focal loss to α-weighted cross-entropy.</w:t>
      </w:r>
    </w:p>
    <w:p>
      <w:pPr>
        <w:spacing w:after="140"/>
      </w:pPr>
      <w:r>
        <w:rPr>
          <w:sz w:val="22"/>
          <w:szCs w:val="22"/>
        </w:rPr>
        <w:t xml:space="preserve">The disadvantage increases monotonically with γ. At γ = 0, where the focusing mechanism is inactive, the difference is indistinguishable from zero. This is a dose–response relationship: the focusing mechanism itself, not the class-weighting term, accounts for the reduction. No cell in the grid favours focal loss by more than 0.0005, so the finding is not an artefact of the particular parameterisation adopted from the originating literature.</w:t>
      </w:r>
    </w:p>
    <w:p>
      <w:pPr>
        <w:pStyle w:val="Heading1"/>
        <w:spacing w:after="160" w:before="280"/>
      </w:pPr>
      <w:r>
        <w:t xml:space="preserve">R5  Instance-level behaviour of the mechanism</w:t>
      </w:r>
    </w:p>
    <w:p>
      <w:pPr>
        <w:spacing w:after="140"/>
      </w:pPr>
      <w:r>
        <w:rPr>
          <w:sz w:val="22"/>
          <w:szCs w:val="22"/>
        </w:rPr>
        <w:t xml:space="preserve">Focal loss reweights the loss contribution of individual instances, so instance-level evidence is reported alongside the fold-averaged metrics. Difficulty strata are defined by the cross-entropy arm's predicted probability of the true class, so the strata are not defined by the arm under test.</w:t>
      </w:r>
    </w:p>
    <w:p>
      <w:pPr>
        <w:spacing w:after="80" w:before="160"/>
      </w:pPr>
      <w:r>
        <w:rPr>
          <w:b/>
          <w:bCs/>
          <w:sz w:val="20"/>
          <w:szCs w:val="20"/>
        </w:rPr>
        <w:t xml:space="preserve">Table R4. Change in predicted probability under focal loss, by difficulty stratum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404"/>
        <w:gridCol w:w="1404"/>
        <w:gridCol w:w="2059"/>
        <w:gridCol w:w="2995"/>
      </w:tblGrid>
      <w:tr>
        <w:trPr>
          <w:tblHeader/>
        </w:trPr>
        <w:tc>
          <w:tcPr>
            <w:tcW w:type="dxa" w:w="1498"/>
            <w:shd w:fill="E8EDF2" w:val="clear"/>
            <w:tcMar>
              <w:top w:type="dxa" w:w="60"/>
              <w:left w:type="dxa" w:w="90"/>
              <w:bottom w:type="dxa" w:w="60"/>
              <w:right w:type="dxa" w:w="90"/>
            </w:tcMar>
          </w:tcPr>
          <w:p>
            <w:r>
              <w:rPr>
                <w:b/>
                <w:bCs/>
                <w:sz w:val="18"/>
                <w:szCs w:val="18"/>
              </w:rPr>
              <w:t xml:space="preserve">Stratum</w:t>
            </w:r>
          </w:p>
        </w:tc>
        <w:tc>
          <w:tcPr>
            <w:tcW w:type="dxa" w:w="1404"/>
            <w:shd w:fill="E8EDF2" w:val="clear"/>
            <w:tcMar>
              <w:top w:type="dxa" w:w="60"/>
              <w:left w:type="dxa" w:w="90"/>
              <w:bottom w:type="dxa" w:w="60"/>
              <w:right w:type="dxa" w:w="90"/>
            </w:tcMar>
          </w:tcPr>
          <w:p>
            <w:r>
              <w:rPr>
                <w:b/>
                <w:bCs/>
                <w:sz w:val="18"/>
                <w:szCs w:val="18"/>
              </w:rPr>
              <w:t xml:space="preserve">Outcome</w:t>
            </w:r>
          </w:p>
        </w:tc>
        <w:tc>
          <w:tcPr>
            <w:tcW w:type="dxa" w:w="1404"/>
            <w:shd w:fill="E8EDF2" w:val="clear"/>
            <w:tcMar>
              <w:top w:type="dxa" w:w="60"/>
              <w:left w:type="dxa" w:w="90"/>
              <w:bottom w:type="dxa" w:w="60"/>
              <w:right w:type="dxa" w:w="90"/>
            </w:tcMar>
          </w:tcPr>
          <w:p>
            <w:r>
              <w:rPr>
                <w:b/>
                <w:bCs/>
                <w:sz w:val="18"/>
                <w:szCs w:val="18"/>
              </w:rPr>
              <w:t xml:space="preserve">Instances</w:t>
            </w:r>
          </w:p>
        </w:tc>
        <w:tc>
          <w:tcPr>
            <w:tcW w:type="dxa" w:w="2059"/>
            <w:shd w:fill="E8EDF2" w:val="clear"/>
            <w:tcMar>
              <w:top w:type="dxa" w:w="60"/>
              <w:left w:type="dxa" w:w="90"/>
              <w:bottom w:type="dxa" w:w="60"/>
              <w:right w:type="dxa" w:w="90"/>
            </w:tcMar>
          </w:tcPr>
          <w:p>
            <w:r>
              <w:rPr>
                <w:b/>
                <w:bCs/>
                <w:sz w:val="18"/>
                <w:szCs w:val="18"/>
              </w:rPr>
              <w:t xml:space="preserve">Mean change in p</w:t>
            </w:r>
          </w:p>
        </w:tc>
        <w:tc>
          <w:tcPr>
            <w:tcW w:type="dxa" w:w="2995"/>
            <w:shd w:fill="E8EDF2" w:val="clear"/>
            <w:tcMar>
              <w:top w:type="dxa" w:w="60"/>
              <w:left w:type="dxa" w:w="90"/>
              <w:bottom w:type="dxa" w:w="60"/>
              <w:right w:type="dxa" w:w="90"/>
            </w:tcMar>
          </w:tcPr>
          <w:p>
            <w:r>
              <w:rPr>
                <w:b/>
                <w:bCs/>
                <w:sz w:val="18"/>
                <w:szCs w:val="18"/>
              </w:rPr>
              <w:t xml:space="preserve">Proportion moved toward the true label</w:t>
            </w:r>
          </w:p>
        </w:tc>
      </w:tr>
      <w:tr>
        <w:tc>
          <w:tcPr>
            <w:tcW w:type="dxa" w:w="1498"/>
            <w:tcMar>
              <w:top w:type="dxa" w:w="60"/>
              <w:left w:type="dxa" w:w="90"/>
              <w:bottom w:type="dxa" w:w="60"/>
              <w:right w:type="dxa" w:w="90"/>
            </w:tcMar>
          </w:tcPr>
          <w:p>
            <w:r>
              <w:rPr>
                <w:b w:val="false"/>
                <w:bCs w:val="false"/>
                <w:sz w:val="18"/>
                <w:szCs w:val="18"/>
              </w:rPr>
              <w:t xml:space="preserve">Very hard</w:t>
            </w:r>
          </w:p>
        </w:tc>
        <w:tc>
          <w:tcPr>
            <w:tcW w:type="dxa" w:w="1404"/>
            <w:tcMar>
              <w:top w:type="dxa" w:w="60"/>
              <w:left w:type="dxa" w:w="90"/>
              <w:bottom w:type="dxa" w:w="60"/>
              <w:right w:type="dxa" w:w="90"/>
            </w:tcMar>
          </w:tcPr>
          <w:p>
            <w:r>
              <w:rPr>
                <w:b w:val="false"/>
                <w:bCs w:val="false"/>
                <w:sz w:val="18"/>
                <w:szCs w:val="18"/>
              </w:rPr>
              <w:t xml:space="preserve">Dropout</w:t>
            </w:r>
          </w:p>
        </w:tc>
        <w:tc>
          <w:tcPr>
            <w:tcW w:type="dxa" w:w="1404"/>
            <w:tcMar>
              <w:top w:type="dxa" w:w="60"/>
              <w:left w:type="dxa" w:w="90"/>
              <w:bottom w:type="dxa" w:w="60"/>
              <w:right w:type="dxa" w:w="90"/>
            </w:tcMar>
          </w:tcPr>
          <w:p>
            <w:r>
              <w:rPr>
                <w:b w:val="false"/>
                <w:bCs w:val="false"/>
                <w:sz w:val="18"/>
                <w:szCs w:val="18"/>
              </w:rPr>
              <w:t xml:space="preserve">276</w:t>
            </w:r>
          </w:p>
        </w:tc>
        <w:tc>
          <w:tcPr>
            <w:tcW w:type="dxa" w:w="2059"/>
            <w:tcMar>
              <w:top w:type="dxa" w:w="60"/>
              <w:left w:type="dxa" w:w="90"/>
              <w:bottom w:type="dxa" w:w="60"/>
              <w:right w:type="dxa" w:w="90"/>
            </w:tcMar>
          </w:tcPr>
          <w:p>
            <w:r>
              <w:rPr>
                <w:b w:val="false"/>
                <w:bCs w:val="false"/>
                <w:sz w:val="18"/>
                <w:szCs w:val="18"/>
              </w:rPr>
              <w:t xml:space="preserve">+0.130</w:t>
            </w:r>
          </w:p>
        </w:tc>
        <w:tc>
          <w:tcPr>
            <w:tcW w:type="dxa" w:w="2995"/>
            <w:tcMar>
              <w:top w:type="dxa" w:w="60"/>
              <w:left w:type="dxa" w:w="90"/>
              <w:bottom w:type="dxa" w:w="60"/>
              <w:right w:type="dxa" w:w="90"/>
            </w:tcMar>
          </w:tcPr>
          <w:p>
            <w:r>
              <w:rPr>
                <w:b w:val="false"/>
                <w:bCs w:val="false"/>
                <w:sz w:val="18"/>
                <w:szCs w:val="18"/>
              </w:rPr>
              <w:t xml:space="preserve">0.993</w:t>
            </w:r>
          </w:p>
        </w:tc>
      </w:tr>
      <w:tr>
        <w:tc>
          <w:tcPr>
            <w:tcW w:type="dxa" w:w="1498"/>
            <w:tcMar>
              <w:top w:type="dxa" w:w="60"/>
              <w:left w:type="dxa" w:w="90"/>
              <w:bottom w:type="dxa" w:w="60"/>
              <w:right w:type="dxa" w:w="90"/>
            </w:tcMar>
          </w:tcPr>
          <w:p>
            <w:r>
              <w:rPr>
                <w:b w:val="false"/>
                <w:bCs w:val="false"/>
                <w:sz w:val="18"/>
                <w:szCs w:val="18"/>
              </w:rPr>
              <w:t xml:space="preserve">Very hard</w:t>
            </w:r>
          </w:p>
        </w:tc>
        <w:tc>
          <w:tcPr>
            <w:tcW w:type="dxa" w:w="1404"/>
            <w:tcMar>
              <w:top w:type="dxa" w:w="60"/>
              <w:left w:type="dxa" w:w="90"/>
              <w:bottom w:type="dxa" w:w="60"/>
              <w:right w:type="dxa" w:w="90"/>
            </w:tcMar>
          </w:tcPr>
          <w:p>
            <w:r>
              <w:rPr>
                <w:b w:val="false"/>
                <w:bCs w:val="false"/>
                <w:sz w:val="18"/>
                <w:szCs w:val="18"/>
              </w:rPr>
              <w:t xml:space="preserve">Retained</w:t>
            </w:r>
          </w:p>
        </w:tc>
        <w:tc>
          <w:tcPr>
            <w:tcW w:type="dxa" w:w="1404"/>
            <w:tcMar>
              <w:top w:type="dxa" w:w="60"/>
              <w:left w:type="dxa" w:w="90"/>
              <w:bottom w:type="dxa" w:w="60"/>
              <w:right w:type="dxa" w:w="90"/>
            </w:tcMar>
          </w:tcPr>
          <w:p>
            <w:r>
              <w:rPr>
                <w:b w:val="false"/>
                <w:bCs w:val="false"/>
                <w:sz w:val="18"/>
                <w:szCs w:val="18"/>
              </w:rPr>
              <w:t xml:space="preserve">73</w:t>
            </w:r>
          </w:p>
        </w:tc>
        <w:tc>
          <w:tcPr>
            <w:tcW w:type="dxa" w:w="2059"/>
            <w:tcMar>
              <w:top w:type="dxa" w:w="60"/>
              <w:left w:type="dxa" w:w="90"/>
              <w:bottom w:type="dxa" w:w="60"/>
              <w:right w:type="dxa" w:w="90"/>
            </w:tcMar>
          </w:tcPr>
          <w:p>
            <w:r>
              <w:rPr>
                <w:b w:val="false"/>
                <w:bCs w:val="false"/>
                <w:sz w:val="18"/>
                <w:szCs w:val="18"/>
              </w:rPr>
              <w:t xml:space="preserve">−0.155</w:t>
            </w:r>
          </w:p>
        </w:tc>
        <w:tc>
          <w:tcPr>
            <w:tcW w:type="dxa" w:w="2995"/>
            <w:tcMar>
              <w:top w:type="dxa" w:w="60"/>
              <w:left w:type="dxa" w:w="90"/>
              <w:bottom w:type="dxa" w:w="60"/>
              <w:right w:type="dxa" w:w="90"/>
            </w:tcMar>
          </w:tcPr>
          <w:p>
            <w:r>
              <w:rPr>
                <w:b w:val="false"/>
                <w:bCs w:val="false"/>
                <w:sz w:val="18"/>
                <w:szCs w:val="18"/>
              </w:rPr>
              <w:t xml:space="preserve">0.986</w:t>
            </w:r>
          </w:p>
        </w:tc>
      </w:tr>
      <w:tr>
        <w:tc>
          <w:tcPr>
            <w:tcW w:type="dxa" w:w="1498"/>
            <w:tcMar>
              <w:top w:type="dxa" w:w="60"/>
              <w:left w:type="dxa" w:w="90"/>
              <w:bottom w:type="dxa" w:w="60"/>
              <w:right w:type="dxa" w:w="90"/>
            </w:tcMar>
          </w:tcPr>
          <w:p>
            <w:r>
              <w:rPr>
                <w:b w:val="false"/>
                <w:bCs w:val="false"/>
                <w:sz w:val="18"/>
                <w:szCs w:val="18"/>
              </w:rPr>
              <w:t xml:space="preserve">Hard</w:t>
            </w:r>
          </w:p>
        </w:tc>
        <w:tc>
          <w:tcPr>
            <w:tcW w:type="dxa" w:w="1404"/>
            <w:tcMar>
              <w:top w:type="dxa" w:w="60"/>
              <w:left w:type="dxa" w:w="90"/>
              <w:bottom w:type="dxa" w:w="60"/>
              <w:right w:type="dxa" w:w="90"/>
            </w:tcMar>
          </w:tcPr>
          <w:p>
            <w:r>
              <w:rPr>
                <w:b w:val="false"/>
                <w:bCs w:val="false"/>
                <w:sz w:val="18"/>
                <w:szCs w:val="18"/>
              </w:rPr>
              <w:t xml:space="preserve">Dropout</w:t>
            </w:r>
          </w:p>
        </w:tc>
        <w:tc>
          <w:tcPr>
            <w:tcW w:type="dxa" w:w="1404"/>
            <w:tcMar>
              <w:top w:type="dxa" w:w="60"/>
              <w:left w:type="dxa" w:w="90"/>
              <w:bottom w:type="dxa" w:w="60"/>
              <w:right w:type="dxa" w:w="90"/>
            </w:tcMar>
          </w:tcPr>
          <w:p>
            <w:r>
              <w:rPr>
                <w:b w:val="false"/>
                <w:bCs w:val="false"/>
                <w:sz w:val="18"/>
                <w:szCs w:val="18"/>
              </w:rPr>
              <w:t xml:space="preserve">48</w:t>
            </w:r>
          </w:p>
        </w:tc>
        <w:tc>
          <w:tcPr>
            <w:tcW w:type="dxa" w:w="2059"/>
            <w:tcMar>
              <w:top w:type="dxa" w:w="60"/>
              <w:left w:type="dxa" w:w="90"/>
              <w:bottom w:type="dxa" w:w="60"/>
              <w:right w:type="dxa" w:w="90"/>
            </w:tcMar>
          </w:tcPr>
          <w:p>
            <w:r>
              <w:rPr>
                <w:b w:val="false"/>
                <w:bCs w:val="false"/>
                <w:sz w:val="18"/>
                <w:szCs w:val="18"/>
              </w:rPr>
              <w:t xml:space="preserve">+0.116</w:t>
            </w:r>
          </w:p>
        </w:tc>
        <w:tc>
          <w:tcPr>
            <w:tcW w:type="dxa" w:w="2995"/>
            <w:tcMar>
              <w:top w:type="dxa" w:w="60"/>
              <w:left w:type="dxa" w:w="90"/>
              <w:bottom w:type="dxa" w:w="60"/>
              <w:right w:type="dxa" w:w="90"/>
            </w:tcMar>
          </w:tcPr>
          <w:p>
            <w:r>
              <w:rPr>
                <w:b w:val="false"/>
                <w:bCs w:val="false"/>
                <w:sz w:val="18"/>
                <w:szCs w:val="18"/>
              </w:rPr>
              <w:t xml:space="preserve">0.750</w:t>
            </w:r>
          </w:p>
        </w:tc>
      </w:tr>
      <w:tr>
        <w:tc>
          <w:tcPr>
            <w:tcW w:type="dxa" w:w="1498"/>
            <w:tcMar>
              <w:top w:type="dxa" w:w="60"/>
              <w:left w:type="dxa" w:w="90"/>
              <w:bottom w:type="dxa" w:w="60"/>
              <w:right w:type="dxa" w:w="90"/>
            </w:tcMar>
          </w:tcPr>
          <w:p>
            <w:r>
              <w:rPr>
                <w:b w:val="false"/>
                <w:bCs w:val="false"/>
                <w:sz w:val="18"/>
                <w:szCs w:val="18"/>
              </w:rPr>
              <w:t xml:space="preserve">Hard</w:t>
            </w:r>
          </w:p>
        </w:tc>
        <w:tc>
          <w:tcPr>
            <w:tcW w:type="dxa" w:w="1404"/>
            <w:tcMar>
              <w:top w:type="dxa" w:w="60"/>
              <w:left w:type="dxa" w:w="90"/>
              <w:bottom w:type="dxa" w:w="60"/>
              <w:right w:type="dxa" w:w="90"/>
            </w:tcMar>
          </w:tcPr>
          <w:p>
            <w:r>
              <w:rPr>
                <w:b w:val="false"/>
                <w:bCs w:val="false"/>
                <w:sz w:val="18"/>
                <w:szCs w:val="18"/>
              </w:rPr>
              <w:t xml:space="preserve">Retained</w:t>
            </w:r>
          </w:p>
        </w:tc>
        <w:tc>
          <w:tcPr>
            <w:tcW w:type="dxa" w:w="1404"/>
            <w:tcMar>
              <w:top w:type="dxa" w:w="60"/>
              <w:left w:type="dxa" w:w="90"/>
              <w:bottom w:type="dxa" w:w="60"/>
              <w:right w:type="dxa" w:w="90"/>
            </w:tcMar>
          </w:tcPr>
          <w:p>
            <w:r>
              <w:rPr>
                <w:b w:val="false"/>
                <w:bCs w:val="false"/>
                <w:sz w:val="18"/>
                <w:szCs w:val="18"/>
              </w:rPr>
              <w:t xml:space="preserve">24</w:t>
            </w:r>
          </w:p>
        </w:tc>
        <w:tc>
          <w:tcPr>
            <w:tcW w:type="dxa" w:w="2059"/>
            <w:tcMar>
              <w:top w:type="dxa" w:w="60"/>
              <w:left w:type="dxa" w:w="90"/>
              <w:bottom w:type="dxa" w:w="60"/>
              <w:right w:type="dxa" w:w="90"/>
            </w:tcMar>
          </w:tcPr>
          <w:p>
            <w:r>
              <w:rPr>
                <w:b w:val="false"/>
                <w:bCs w:val="false"/>
                <w:sz w:val="18"/>
                <w:szCs w:val="18"/>
              </w:rPr>
              <w:t xml:space="preserve">−0.090</w:t>
            </w:r>
          </w:p>
        </w:tc>
        <w:tc>
          <w:tcPr>
            <w:tcW w:type="dxa" w:w="2995"/>
            <w:tcMar>
              <w:top w:type="dxa" w:w="60"/>
              <w:left w:type="dxa" w:w="90"/>
              <w:bottom w:type="dxa" w:w="60"/>
              <w:right w:type="dxa" w:w="90"/>
            </w:tcMar>
          </w:tcPr>
          <w:p>
            <w:r>
              <w:rPr>
                <w:b w:val="false"/>
                <w:bCs w:val="false"/>
                <w:sz w:val="18"/>
                <w:szCs w:val="18"/>
              </w:rPr>
              <w:t xml:space="preserve">0.667</w:t>
            </w:r>
          </w:p>
        </w:tc>
      </w:tr>
      <w:tr>
        <w:tc>
          <w:tcPr>
            <w:tcW w:type="dxa" w:w="1498"/>
            <w:tcMar>
              <w:top w:type="dxa" w:w="60"/>
              <w:left w:type="dxa" w:w="90"/>
              <w:bottom w:type="dxa" w:w="60"/>
              <w:right w:type="dxa" w:w="90"/>
            </w:tcMar>
          </w:tcPr>
          <w:p>
            <w:r>
              <w:rPr>
                <w:b w:val="false"/>
                <w:bCs w:val="false"/>
                <w:sz w:val="18"/>
                <w:szCs w:val="18"/>
              </w:rPr>
              <w:t xml:space="preserve">Moderate</w:t>
            </w:r>
          </w:p>
        </w:tc>
        <w:tc>
          <w:tcPr>
            <w:tcW w:type="dxa" w:w="1404"/>
            <w:tcMar>
              <w:top w:type="dxa" w:w="60"/>
              <w:left w:type="dxa" w:w="90"/>
              <w:bottom w:type="dxa" w:w="60"/>
              <w:right w:type="dxa" w:w="90"/>
            </w:tcMar>
          </w:tcPr>
          <w:p>
            <w:r>
              <w:rPr>
                <w:b w:val="false"/>
                <w:bCs w:val="false"/>
                <w:sz w:val="18"/>
                <w:szCs w:val="18"/>
              </w:rPr>
              <w:t xml:space="preserve">Dropout</w:t>
            </w:r>
          </w:p>
        </w:tc>
        <w:tc>
          <w:tcPr>
            <w:tcW w:type="dxa" w:w="1404"/>
            <w:tcMar>
              <w:top w:type="dxa" w:w="60"/>
              <w:left w:type="dxa" w:w="90"/>
              <w:bottom w:type="dxa" w:w="60"/>
              <w:right w:type="dxa" w:w="90"/>
            </w:tcMar>
          </w:tcPr>
          <w:p>
            <w:r>
              <w:rPr>
                <w:b w:val="false"/>
                <w:bCs w:val="false"/>
                <w:sz w:val="18"/>
                <w:szCs w:val="18"/>
              </w:rPr>
              <w:t xml:space="preserve">49</w:t>
            </w:r>
          </w:p>
        </w:tc>
        <w:tc>
          <w:tcPr>
            <w:tcW w:type="dxa" w:w="2059"/>
            <w:tcMar>
              <w:top w:type="dxa" w:w="60"/>
              <w:left w:type="dxa" w:w="90"/>
              <w:bottom w:type="dxa" w:w="60"/>
              <w:right w:type="dxa" w:w="90"/>
            </w:tcMar>
          </w:tcPr>
          <w:p>
            <w:r>
              <w:rPr>
                <w:b w:val="false"/>
                <w:bCs w:val="false"/>
                <w:sz w:val="18"/>
                <w:szCs w:val="18"/>
              </w:rPr>
              <w:t xml:space="preserve">−0.070</w:t>
            </w:r>
          </w:p>
        </w:tc>
        <w:tc>
          <w:tcPr>
            <w:tcW w:type="dxa" w:w="2995"/>
            <w:tcMar>
              <w:top w:type="dxa" w:w="60"/>
              <w:left w:type="dxa" w:w="90"/>
              <w:bottom w:type="dxa" w:w="60"/>
              <w:right w:type="dxa" w:w="90"/>
            </w:tcMar>
          </w:tcPr>
          <w:p>
            <w:r>
              <w:rPr>
                <w:b w:val="false"/>
                <w:bCs w:val="false"/>
                <w:sz w:val="18"/>
                <w:szCs w:val="18"/>
              </w:rPr>
              <w:t xml:space="preserve">0.449</w:t>
            </w:r>
          </w:p>
        </w:tc>
      </w:tr>
      <w:tr>
        <w:tc>
          <w:tcPr>
            <w:tcW w:type="dxa" w:w="1498"/>
            <w:tcMar>
              <w:top w:type="dxa" w:w="60"/>
              <w:left w:type="dxa" w:w="90"/>
              <w:bottom w:type="dxa" w:w="60"/>
              <w:right w:type="dxa" w:w="90"/>
            </w:tcMar>
          </w:tcPr>
          <w:p>
            <w:r>
              <w:rPr>
                <w:b w:val="false"/>
                <w:bCs w:val="false"/>
                <w:sz w:val="18"/>
                <w:szCs w:val="18"/>
              </w:rPr>
              <w:t xml:space="preserve">Easy</w:t>
            </w:r>
          </w:p>
        </w:tc>
        <w:tc>
          <w:tcPr>
            <w:tcW w:type="dxa" w:w="1404"/>
            <w:tcMar>
              <w:top w:type="dxa" w:w="60"/>
              <w:left w:type="dxa" w:w="90"/>
              <w:bottom w:type="dxa" w:w="60"/>
              <w:right w:type="dxa" w:w="90"/>
            </w:tcMar>
          </w:tcPr>
          <w:p>
            <w:r>
              <w:rPr>
                <w:b w:val="false"/>
                <w:bCs w:val="false"/>
                <w:sz w:val="18"/>
                <w:szCs w:val="18"/>
              </w:rPr>
              <w:t xml:space="preserve">Dropout</w:t>
            </w:r>
          </w:p>
        </w:tc>
        <w:tc>
          <w:tcPr>
            <w:tcW w:type="dxa" w:w="1404"/>
            <w:tcMar>
              <w:top w:type="dxa" w:w="60"/>
              <w:left w:type="dxa" w:w="90"/>
              <w:bottom w:type="dxa" w:w="60"/>
              <w:right w:type="dxa" w:w="90"/>
            </w:tcMar>
          </w:tcPr>
          <w:p>
            <w:r>
              <w:rPr>
                <w:b w:val="false"/>
                <w:bCs w:val="false"/>
                <w:sz w:val="18"/>
                <w:szCs w:val="18"/>
              </w:rPr>
              <w:t xml:space="preserve">3,077</w:t>
            </w:r>
          </w:p>
        </w:tc>
        <w:tc>
          <w:tcPr>
            <w:tcW w:type="dxa" w:w="2059"/>
            <w:tcMar>
              <w:top w:type="dxa" w:w="60"/>
              <w:left w:type="dxa" w:w="90"/>
              <w:bottom w:type="dxa" w:w="60"/>
              <w:right w:type="dxa" w:w="90"/>
            </w:tcMar>
          </w:tcPr>
          <w:p>
            <w:r>
              <w:rPr>
                <w:b w:val="false"/>
                <w:bCs w:val="false"/>
                <w:sz w:val="18"/>
                <w:szCs w:val="18"/>
              </w:rPr>
              <w:t xml:space="preserve">−0.026</w:t>
            </w:r>
          </w:p>
        </w:tc>
        <w:tc>
          <w:tcPr>
            <w:tcW w:type="dxa" w:w="2995"/>
            <w:tcMar>
              <w:top w:type="dxa" w:w="60"/>
              <w:left w:type="dxa" w:w="90"/>
              <w:bottom w:type="dxa" w:w="60"/>
              <w:right w:type="dxa" w:w="90"/>
            </w:tcMar>
          </w:tcPr>
          <w:p>
            <w:r>
              <w:rPr>
                <w:b w:val="false"/>
                <w:bCs w:val="false"/>
                <w:sz w:val="18"/>
                <w:szCs w:val="18"/>
              </w:rPr>
              <w:t xml:space="preserve">0.002</w:t>
            </w:r>
          </w:p>
        </w:tc>
      </w:tr>
      <w:tr>
        <w:tc>
          <w:tcPr>
            <w:tcW w:type="dxa" w:w="1498"/>
            <w:tcMar>
              <w:top w:type="dxa" w:w="60"/>
              <w:left w:type="dxa" w:w="90"/>
              <w:bottom w:type="dxa" w:w="60"/>
              <w:right w:type="dxa" w:w="90"/>
            </w:tcMar>
          </w:tcPr>
          <w:p>
            <w:r>
              <w:rPr>
                <w:b w:val="false"/>
                <w:bCs w:val="false"/>
                <w:sz w:val="18"/>
                <w:szCs w:val="18"/>
              </w:rPr>
              <w:t xml:space="preserve">Easy</w:t>
            </w:r>
          </w:p>
        </w:tc>
        <w:tc>
          <w:tcPr>
            <w:tcW w:type="dxa" w:w="1404"/>
            <w:tcMar>
              <w:top w:type="dxa" w:w="60"/>
              <w:left w:type="dxa" w:w="90"/>
              <w:bottom w:type="dxa" w:w="60"/>
              <w:right w:type="dxa" w:w="90"/>
            </w:tcMar>
          </w:tcPr>
          <w:p>
            <w:r>
              <w:rPr>
                <w:b w:val="false"/>
                <w:bCs w:val="false"/>
                <w:sz w:val="18"/>
                <w:szCs w:val="18"/>
              </w:rPr>
              <w:t xml:space="preserve">Retained</w:t>
            </w:r>
          </w:p>
        </w:tc>
        <w:tc>
          <w:tcPr>
            <w:tcW w:type="dxa" w:w="1404"/>
            <w:tcMar>
              <w:top w:type="dxa" w:w="60"/>
              <w:left w:type="dxa" w:w="90"/>
              <w:bottom w:type="dxa" w:w="60"/>
              <w:right w:type="dxa" w:w="90"/>
            </w:tcMar>
          </w:tcPr>
          <w:p>
            <w:r>
              <w:rPr>
                <w:b w:val="false"/>
                <w:bCs w:val="false"/>
                <w:sz w:val="18"/>
                <w:szCs w:val="18"/>
              </w:rPr>
              <w:t xml:space="preserve">35,628</w:t>
            </w:r>
          </w:p>
        </w:tc>
        <w:tc>
          <w:tcPr>
            <w:tcW w:type="dxa" w:w="2059"/>
            <w:tcMar>
              <w:top w:type="dxa" w:w="60"/>
              <w:left w:type="dxa" w:w="90"/>
              <w:bottom w:type="dxa" w:w="60"/>
              <w:right w:type="dxa" w:w="90"/>
            </w:tcMar>
          </w:tcPr>
          <w:p>
            <w:r>
              <w:rPr>
                <w:b w:val="false"/>
                <w:bCs w:val="false"/>
                <w:sz w:val="18"/>
                <w:szCs w:val="18"/>
              </w:rPr>
              <w:t xml:space="preserve">+0.013</w:t>
            </w:r>
          </w:p>
        </w:tc>
        <w:tc>
          <w:tcPr>
            <w:tcW w:type="dxa" w:w="2995"/>
            <w:tcMar>
              <w:top w:type="dxa" w:w="60"/>
              <w:left w:type="dxa" w:w="90"/>
              <w:bottom w:type="dxa" w:w="60"/>
              <w:right w:type="dxa" w:w="90"/>
            </w:tcMar>
          </w:tcPr>
          <w:p>
            <w:r>
              <w:rPr>
                <w:b w:val="false"/>
                <w:bCs w:val="false"/>
                <w:sz w:val="18"/>
                <w:szCs w:val="18"/>
              </w:rPr>
              <w:t xml:space="preserve">0.000</w:t>
            </w:r>
          </w:p>
        </w:tc>
      </w:tr>
    </w:tbl>
    <w:p>
      <w:pPr>
        <w:spacing w:after="160"/>
      </w:pPr>
      <w:r>
        <w:rPr>
          <w:i/>
          <w:iCs/>
          <w:sz w:val="18"/>
          <w:szCs w:val="18"/>
        </w:rPr>
        <w:t xml:space="preserve">Instance evaluations pooled across ten seeds and 25 folds; individual pupils recur across folds.</w:t>
      </w:r>
    </w:p>
    <w:p>
      <w:pPr>
        <w:spacing w:after="140"/>
      </w:pPr>
      <w:r>
        <w:rPr>
          <w:sz w:val="22"/>
          <w:szCs w:val="22"/>
        </w:rPr>
        <w:t xml:space="preserve">The mechanism behaves as designed on the cases it targets. Among the hardest dropout instances, focal loss raises the predicted probability in 99.3% of evaluations, by an average of 0.130; among the hardest retained instances it lowers it in 98.6%. On the 38,705 easy instances, which constitute 99.1% of all evaluations, the movement is small and away from the true label.</w:t>
      </w:r>
    </w:p>
    <w:p>
      <w:pPr>
        <w:spacing w:after="140"/>
      </w:pPr>
      <w:r>
        <w:rPr>
          <w:sz w:val="22"/>
          <w:szCs w:val="22"/>
        </w:rPr>
        <w:t xml:space="preserve">This resolves the apparent contradiction between the mechanism and the aggregate metric. Focal loss does concentrate attention on difficult cases and does improve their scores, but the ranking metric is dominated by the easy majority, whose ordering it slightly disturbs. On a dataset this separable the trade is net negative. This is a statement about the interaction between the mechanism and the dataset, not a refutation of the mechanism.</w:t>
      </w:r>
    </w:p>
    <w:p>
      <w:pPr>
        <w:pStyle w:val="Heading1"/>
        <w:spacing w:after="160" w:before="280"/>
      </w:pPr>
      <w:r>
        <w:t xml:space="preserve">R6  Feature attribution</w:t>
      </w:r>
    </w:p>
    <w:p>
      <w:pPr>
        <w:spacing w:after="140"/>
      </w:pPr>
      <w:r>
        <w:rPr>
          <w:sz w:val="22"/>
          <w:szCs w:val="22"/>
        </w:rPr>
        <w:t xml:space="preserve">Attribution is computed on a cross-validation held-out fold of the training partition for the proposed model, across all 15 features rather than a truncated ranking.</w:t>
      </w:r>
    </w:p>
    <w:p>
      <w:pPr>
        <w:spacing w:after="80" w:before="160"/>
      </w:pPr>
      <w:r>
        <w:rPr>
          <w:b/>
          <w:bCs/>
          <w:sz w:val="20"/>
          <w:szCs w:val="20"/>
        </w:rPr>
        <w:t xml:space="preserve">Table R5. Attribution aggregated to feature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123"/>
        <w:gridCol w:w="2059"/>
        <w:gridCol w:w="1217"/>
        <w:gridCol w:w="2527"/>
      </w:tblGrid>
      <w:tr>
        <w:trPr>
          <w:tblHeader/>
        </w:trPr>
        <w:tc>
          <w:tcPr>
            <w:tcW w:type="dxa" w:w="2434"/>
            <w:shd w:fill="E8EDF2" w:val="clear"/>
            <w:tcMar>
              <w:top w:type="dxa" w:w="60"/>
              <w:left w:type="dxa" w:w="90"/>
              <w:bottom w:type="dxa" w:w="60"/>
              <w:right w:type="dxa" w:w="90"/>
            </w:tcMar>
          </w:tcPr>
          <w:p>
            <w:r>
              <w:rPr>
                <w:b/>
                <w:bCs/>
                <w:sz w:val="18"/>
                <w:szCs w:val="18"/>
              </w:rPr>
              <w:t xml:space="preserve">Family</w:t>
            </w:r>
          </w:p>
        </w:tc>
        <w:tc>
          <w:tcPr>
            <w:tcW w:type="dxa" w:w="1123"/>
            <w:shd w:fill="E8EDF2" w:val="clear"/>
            <w:tcMar>
              <w:top w:type="dxa" w:w="60"/>
              <w:left w:type="dxa" w:w="90"/>
              <w:bottom w:type="dxa" w:w="60"/>
              <w:right w:type="dxa" w:w="90"/>
            </w:tcMar>
          </w:tcPr>
          <w:p>
            <w:r>
              <w:rPr>
                <w:b/>
                <w:bCs/>
                <w:sz w:val="18"/>
                <w:szCs w:val="18"/>
              </w:rPr>
              <w:t xml:space="preserve">Features</w:t>
            </w:r>
          </w:p>
        </w:tc>
        <w:tc>
          <w:tcPr>
            <w:tcW w:type="dxa" w:w="2059"/>
            <w:shd w:fill="E8EDF2" w:val="clear"/>
            <w:tcMar>
              <w:top w:type="dxa" w:w="60"/>
              <w:left w:type="dxa" w:w="90"/>
              <w:bottom w:type="dxa" w:w="60"/>
              <w:right w:type="dxa" w:w="90"/>
            </w:tcMar>
          </w:tcPr>
          <w:p>
            <w:r>
              <w:rPr>
                <w:b/>
                <w:bCs/>
                <w:sz w:val="18"/>
                <w:szCs w:val="18"/>
              </w:rPr>
              <w:t xml:space="preserve">Total mean |SHAP|</w:t>
            </w:r>
          </w:p>
        </w:tc>
        <w:tc>
          <w:tcPr>
            <w:tcW w:type="dxa" w:w="1217"/>
            <w:shd w:fill="E8EDF2" w:val="clear"/>
            <w:tcMar>
              <w:top w:type="dxa" w:w="60"/>
              <w:left w:type="dxa" w:w="90"/>
              <w:bottom w:type="dxa" w:w="60"/>
              <w:right w:type="dxa" w:w="90"/>
            </w:tcMar>
          </w:tcPr>
          <w:p>
            <w:r>
              <w:rPr>
                <w:b/>
                <w:bCs/>
                <w:sz w:val="18"/>
                <w:szCs w:val="18"/>
              </w:rPr>
              <w:t xml:space="preserve">Share (%)</w:t>
            </w:r>
          </w:p>
        </w:tc>
        <w:tc>
          <w:tcPr>
            <w:tcW w:type="dxa" w:w="2527"/>
            <w:shd w:fill="E8EDF2" w:val="clear"/>
            <w:tcMar>
              <w:top w:type="dxa" w:w="60"/>
              <w:left w:type="dxa" w:w="90"/>
              <w:bottom w:type="dxa" w:w="60"/>
              <w:right w:type="dxa" w:w="90"/>
            </w:tcMar>
          </w:tcPr>
          <w:p>
            <w:r>
              <w:rPr>
                <w:b/>
                <w:bCs/>
                <w:sz w:val="18"/>
                <w:szCs w:val="18"/>
              </w:rPr>
              <w:t xml:space="preserve">Leading feature</w:t>
            </w:r>
          </w:p>
        </w:tc>
      </w:tr>
      <w:tr>
        <w:tc>
          <w:tcPr>
            <w:tcW w:type="dxa" w:w="2434"/>
            <w:tcMar>
              <w:top w:type="dxa" w:w="60"/>
              <w:left w:type="dxa" w:w="90"/>
              <w:bottom w:type="dxa" w:w="60"/>
              <w:right w:type="dxa" w:w="90"/>
            </w:tcMar>
          </w:tcPr>
          <w:p>
            <w:r>
              <w:rPr>
                <w:b w:val="false"/>
                <w:bCs w:val="false"/>
                <w:sz w:val="18"/>
                <w:szCs w:val="18"/>
              </w:rPr>
              <w:t xml:space="preserve">Academic performance</w:t>
            </w:r>
          </w:p>
        </w:tc>
        <w:tc>
          <w:tcPr>
            <w:tcW w:type="dxa" w:w="1123"/>
            <w:tcMar>
              <w:top w:type="dxa" w:w="60"/>
              <w:left w:type="dxa" w:w="90"/>
              <w:bottom w:type="dxa" w:w="60"/>
              <w:right w:type="dxa" w:w="90"/>
            </w:tcMar>
          </w:tcPr>
          <w:p>
            <w:r>
              <w:rPr>
                <w:b w:val="false"/>
                <w:bCs w:val="false"/>
                <w:sz w:val="18"/>
                <w:szCs w:val="18"/>
              </w:rPr>
              <w:t xml:space="preserve">8</w:t>
            </w:r>
          </w:p>
        </w:tc>
        <w:tc>
          <w:tcPr>
            <w:tcW w:type="dxa" w:w="2059"/>
            <w:tcMar>
              <w:top w:type="dxa" w:w="60"/>
              <w:left w:type="dxa" w:w="90"/>
              <w:bottom w:type="dxa" w:w="60"/>
              <w:right w:type="dxa" w:w="90"/>
            </w:tcMar>
          </w:tcPr>
          <w:p>
            <w:r>
              <w:rPr>
                <w:b w:val="false"/>
                <w:bCs w:val="false"/>
                <w:sz w:val="18"/>
                <w:szCs w:val="18"/>
              </w:rPr>
              <w:t xml:space="preserve">1.362</w:t>
            </w:r>
          </w:p>
        </w:tc>
        <w:tc>
          <w:tcPr>
            <w:tcW w:type="dxa" w:w="1217"/>
            <w:tcMar>
              <w:top w:type="dxa" w:w="60"/>
              <w:left w:type="dxa" w:w="90"/>
              <w:bottom w:type="dxa" w:w="60"/>
              <w:right w:type="dxa" w:w="90"/>
            </w:tcMar>
          </w:tcPr>
          <w:p>
            <w:r>
              <w:rPr>
                <w:b w:val="false"/>
                <w:bCs w:val="false"/>
                <w:sz w:val="18"/>
                <w:szCs w:val="18"/>
              </w:rPr>
              <w:t xml:space="preserve">47.3</w:t>
            </w:r>
          </w:p>
        </w:tc>
        <w:tc>
          <w:tcPr>
            <w:tcW w:type="dxa" w:w="2527"/>
            <w:tcMar>
              <w:top w:type="dxa" w:w="60"/>
              <w:left w:type="dxa" w:w="90"/>
              <w:bottom w:type="dxa" w:w="60"/>
              <w:right w:type="dxa" w:w="90"/>
            </w:tcMar>
          </w:tcPr>
          <w:p>
            <w:r>
              <w:rPr>
                <w:b w:val="false"/>
                <w:bCs w:val="false"/>
                <w:sz w:val="18"/>
                <w:szCs w:val="18"/>
              </w:rPr>
              <w:t xml:space="preserve">Average examination score</w:t>
            </w:r>
          </w:p>
        </w:tc>
      </w:tr>
      <w:tr>
        <w:tc>
          <w:tcPr>
            <w:tcW w:type="dxa" w:w="2434"/>
            <w:tcMar>
              <w:top w:type="dxa" w:w="60"/>
              <w:left w:type="dxa" w:w="90"/>
              <w:bottom w:type="dxa" w:w="60"/>
              <w:right w:type="dxa" w:w="90"/>
            </w:tcMar>
          </w:tcPr>
          <w:p>
            <w:r>
              <w:rPr>
                <w:b w:val="false"/>
                <w:bCs w:val="false"/>
                <w:sz w:val="18"/>
                <w:szCs w:val="18"/>
              </w:rPr>
              <w:t xml:space="preserve">Attendance trajectory</w:t>
            </w:r>
          </w:p>
        </w:tc>
        <w:tc>
          <w:tcPr>
            <w:tcW w:type="dxa" w:w="1123"/>
            <w:tcMar>
              <w:top w:type="dxa" w:w="60"/>
              <w:left w:type="dxa" w:w="90"/>
              <w:bottom w:type="dxa" w:w="60"/>
              <w:right w:type="dxa" w:w="90"/>
            </w:tcMar>
          </w:tcPr>
          <w:p>
            <w:r>
              <w:rPr>
                <w:b w:val="false"/>
                <w:bCs w:val="false"/>
                <w:sz w:val="18"/>
                <w:szCs w:val="18"/>
              </w:rPr>
              <w:t xml:space="preserve">3</w:t>
            </w:r>
          </w:p>
        </w:tc>
        <w:tc>
          <w:tcPr>
            <w:tcW w:type="dxa" w:w="2059"/>
            <w:tcMar>
              <w:top w:type="dxa" w:w="60"/>
              <w:left w:type="dxa" w:w="90"/>
              <w:bottom w:type="dxa" w:w="60"/>
              <w:right w:type="dxa" w:w="90"/>
            </w:tcMar>
          </w:tcPr>
          <w:p>
            <w:r>
              <w:rPr>
                <w:b w:val="false"/>
                <w:bCs w:val="false"/>
                <w:sz w:val="18"/>
                <w:szCs w:val="18"/>
              </w:rPr>
              <w:t xml:space="preserve">1.065</w:t>
            </w:r>
          </w:p>
        </w:tc>
        <w:tc>
          <w:tcPr>
            <w:tcW w:type="dxa" w:w="1217"/>
            <w:tcMar>
              <w:top w:type="dxa" w:w="60"/>
              <w:left w:type="dxa" w:w="90"/>
              <w:bottom w:type="dxa" w:w="60"/>
              <w:right w:type="dxa" w:w="90"/>
            </w:tcMar>
          </w:tcPr>
          <w:p>
            <w:r>
              <w:rPr>
                <w:b w:val="false"/>
                <w:bCs w:val="false"/>
                <w:sz w:val="18"/>
                <w:szCs w:val="18"/>
              </w:rPr>
              <w:t xml:space="preserve">37.0</w:t>
            </w:r>
          </w:p>
        </w:tc>
        <w:tc>
          <w:tcPr>
            <w:tcW w:type="dxa" w:w="2527"/>
            <w:tcMar>
              <w:top w:type="dxa" w:w="60"/>
              <w:left w:type="dxa" w:w="90"/>
              <w:bottom w:type="dxa" w:w="60"/>
              <w:right w:type="dxa" w:w="90"/>
            </w:tcMar>
          </w:tcPr>
          <w:p>
            <w:r>
              <w:rPr>
                <w:b w:val="false"/>
                <w:bCs w:val="false"/>
                <w:sz w:val="18"/>
                <w:szCs w:val="18"/>
              </w:rPr>
              <w:t xml:space="preserve">Attendance risk index</w:t>
            </w:r>
          </w:p>
        </w:tc>
      </w:tr>
      <w:tr>
        <w:tc>
          <w:tcPr>
            <w:tcW w:type="dxa" w:w="2434"/>
            <w:tcMar>
              <w:top w:type="dxa" w:w="60"/>
              <w:left w:type="dxa" w:w="90"/>
              <w:bottom w:type="dxa" w:w="60"/>
              <w:right w:type="dxa" w:w="90"/>
            </w:tcMar>
          </w:tcPr>
          <w:p>
            <w:r>
              <w:rPr>
                <w:b w:val="false"/>
                <w:bCs w:val="false"/>
                <w:sz w:val="18"/>
                <w:szCs w:val="18"/>
              </w:rPr>
              <w:t xml:space="preserve">Demographic</w:t>
            </w:r>
          </w:p>
        </w:tc>
        <w:tc>
          <w:tcPr>
            <w:tcW w:type="dxa" w:w="1123"/>
            <w:tcMar>
              <w:top w:type="dxa" w:w="60"/>
              <w:left w:type="dxa" w:w="90"/>
              <w:bottom w:type="dxa" w:w="60"/>
              <w:right w:type="dxa" w:w="90"/>
            </w:tcMar>
          </w:tcPr>
          <w:p>
            <w:r>
              <w:rPr>
                <w:b w:val="false"/>
                <w:bCs w:val="false"/>
                <w:sz w:val="18"/>
                <w:szCs w:val="18"/>
              </w:rPr>
              <w:t xml:space="preserve">2</w:t>
            </w:r>
          </w:p>
        </w:tc>
        <w:tc>
          <w:tcPr>
            <w:tcW w:type="dxa" w:w="2059"/>
            <w:tcMar>
              <w:top w:type="dxa" w:w="60"/>
              <w:left w:type="dxa" w:w="90"/>
              <w:bottom w:type="dxa" w:w="60"/>
              <w:right w:type="dxa" w:w="90"/>
            </w:tcMar>
          </w:tcPr>
          <w:p>
            <w:r>
              <w:rPr>
                <w:b w:val="false"/>
                <w:bCs w:val="false"/>
                <w:sz w:val="18"/>
                <w:szCs w:val="18"/>
              </w:rPr>
              <w:t xml:space="preserve">0.227</w:t>
            </w:r>
          </w:p>
        </w:tc>
        <w:tc>
          <w:tcPr>
            <w:tcW w:type="dxa" w:w="1217"/>
            <w:tcMar>
              <w:top w:type="dxa" w:w="60"/>
              <w:left w:type="dxa" w:w="90"/>
              <w:bottom w:type="dxa" w:w="60"/>
              <w:right w:type="dxa" w:w="90"/>
            </w:tcMar>
          </w:tcPr>
          <w:p>
            <w:r>
              <w:rPr>
                <w:b w:val="false"/>
                <w:bCs w:val="false"/>
                <w:sz w:val="18"/>
                <w:szCs w:val="18"/>
              </w:rPr>
              <w:t xml:space="preserve">7.9</w:t>
            </w:r>
          </w:p>
        </w:tc>
        <w:tc>
          <w:tcPr>
            <w:tcW w:type="dxa" w:w="2527"/>
            <w:tcMar>
              <w:top w:type="dxa" w:w="60"/>
              <w:left w:type="dxa" w:w="90"/>
              <w:bottom w:type="dxa" w:w="60"/>
              <w:right w:type="dxa" w:w="90"/>
            </w:tcMar>
          </w:tcPr>
          <w:p>
            <w:r>
              <w:rPr>
                <w:b w:val="false"/>
                <w:bCs w:val="false"/>
                <w:sz w:val="18"/>
                <w:szCs w:val="18"/>
              </w:rPr>
              <w:t xml:space="preserve">Age at start of academic year</w:t>
            </w:r>
          </w:p>
        </w:tc>
      </w:tr>
      <w:tr>
        <w:tc>
          <w:tcPr>
            <w:tcW w:type="dxa" w:w="2434"/>
            <w:tcMar>
              <w:top w:type="dxa" w:w="60"/>
              <w:left w:type="dxa" w:w="90"/>
              <w:bottom w:type="dxa" w:w="60"/>
              <w:right w:type="dxa" w:w="90"/>
            </w:tcMar>
          </w:tcPr>
          <w:p>
            <w:r>
              <w:rPr>
                <w:b w:val="false"/>
                <w:bCs w:val="false"/>
                <w:sz w:val="18"/>
                <w:szCs w:val="18"/>
              </w:rPr>
              <w:t xml:space="preserve">School administrative</w:t>
            </w:r>
          </w:p>
        </w:tc>
        <w:tc>
          <w:tcPr>
            <w:tcW w:type="dxa" w:w="1123"/>
            <w:tcMar>
              <w:top w:type="dxa" w:w="60"/>
              <w:left w:type="dxa" w:w="90"/>
              <w:bottom w:type="dxa" w:w="60"/>
              <w:right w:type="dxa" w:w="90"/>
            </w:tcMar>
          </w:tcPr>
          <w:p>
            <w:r>
              <w:rPr>
                <w:b w:val="false"/>
                <w:bCs w:val="false"/>
                <w:sz w:val="18"/>
                <w:szCs w:val="18"/>
              </w:rPr>
              <w:t xml:space="preserve">2</w:t>
            </w:r>
          </w:p>
        </w:tc>
        <w:tc>
          <w:tcPr>
            <w:tcW w:type="dxa" w:w="2059"/>
            <w:tcMar>
              <w:top w:type="dxa" w:w="60"/>
              <w:left w:type="dxa" w:w="90"/>
              <w:bottom w:type="dxa" w:w="60"/>
              <w:right w:type="dxa" w:w="90"/>
            </w:tcMar>
          </w:tcPr>
          <w:p>
            <w:r>
              <w:rPr>
                <w:b w:val="false"/>
                <w:bCs w:val="false"/>
                <w:sz w:val="18"/>
                <w:szCs w:val="18"/>
              </w:rPr>
              <w:t xml:space="preserve">0.226</w:t>
            </w:r>
          </w:p>
        </w:tc>
        <w:tc>
          <w:tcPr>
            <w:tcW w:type="dxa" w:w="1217"/>
            <w:tcMar>
              <w:top w:type="dxa" w:w="60"/>
              <w:left w:type="dxa" w:w="90"/>
              <w:bottom w:type="dxa" w:w="60"/>
              <w:right w:type="dxa" w:w="90"/>
            </w:tcMar>
          </w:tcPr>
          <w:p>
            <w:r>
              <w:rPr>
                <w:b w:val="false"/>
                <w:bCs w:val="false"/>
                <w:sz w:val="18"/>
                <w:szCs w:val="18"/>
              </w:rPr>
              <w:t xml:space="preserve">7.9</w:t>
            </w:r>
          </w:p>
        </w:tc>
        <w:tc>
          <w:tcPr>
            <w:tcW w:type="dxa" w:w="2527"/>
            <w:tcMar>
              <w:top w:type="dxa" w:w="60"/>
              <w:left w:type="dxa" w:w="90"/>
              <w:bottom w:type="dxa" w:w="60"/>
              <w:right w:type="dxa" w:w="90"/>
            </w:tcMar>
          </w:tcPr>
          <w:p>
            <w:r>
              <w:rPr>
                <w:b w:val="false"/>
                <w:bCs w:val="false"/>
                <w:sz w:val="18"/>
                <w:szCs w:val="18"/>
              </w:rPr>
              <w:t xml:space="preserve">Geographic zone</w:t>
            </w:r>
          </w:p>
        </w:tc>
      </w:tr>
    </w:tbl>
    <w:p>
      <w:pPr>
        <w:spacing w:after="140"/>
      </w:pPr>
      <w:r>
        <w:rPr>
          <w:sz w:val="22"/>
          <w:szCs w:val="22"/>
        </w:rPr>
        <w:t xml:space="preserve">Two families account for 84.3% of total attribution: academic performance and attendance trajectory. The attendance risk index is the single most influential feature (mean |SHAP| 0.461), followed by the average examination score (0.440) and the science examination score (0.362).</w:t>
      </w:r>
    </w:p>
    <w:p>
      <w:pPr>
        <w:spacing w:after="140"/>
      </w:pPr>
      <w:r>
        <w:rPr>
          <w:sz w:val="22"/>
          <w:szCs w:val="22"/>
        </w:rPr>
        <w:t xml:space="preserve">Direction is reported from the rank correlation between each feature's values and its attributions. Higher attendance and higher examination scores lower predicted dropout risk; a higher attendance risk index, which is constructed to increase as attendance falls, raises it. The directions are therefore mutually consistent and consistent with the substantive literature.</w:t>
      </w:r>
    </w:p>
    <w:p>
      <w:pPr>
        <w:spacing w:after="140"/>
      </w:pPr>
      <w:r>
        <w:rPr>
          <w:sz w:val="22"/>
          <w:szCs w:val="22"/>
        </w:rPr>
        <w:t xml:space="preserve">The attendance risk index ranking first is notable in light of R3: the composite is the most influential single feature, yet adding it changes AUC-PR by only −0.0005. The model makes heavy use of it while performing no better for doing so, which indicates redundancy with the term-level attendance columns from which it is derived rather than additional signal. Both findings are reported together, since either alone would mislead.</w:t>
      </w:r>
    </w:p>
    <w:p>
      <w:pPr>
        <w:spacing w:after="140"/>
      </w:pPr>
      <w:r>
        <w:rPr>
          <w:sz w:val="22"/>
          <w:szCs w:val="22"/>
        </w:rPr>
        <w:t xml:space="preserve">Attribution for the minority class rests on 14 dropout cases in the explained fold, and the corresponding standard errors are reported in the committed attribution file. Attribution magnitudes are not compared across models with different feature counts.</w:t>
      </w:r>
    </w:p>
    <w:p>
      <w:pPr>
        <w:pStyle w:val="Heading1"/>
        <w:spacing w:after="160" w:before="280"/>
      </w:pPr>
      <w:r>
        <w:t xml:space="preserve">R7  Generalisation across schools</w:t>
      </w:r>
    </w:p>
    <w:p>
      <w:pPr>
        <w:spacing w:after="140"/>
      </w:pPr>
      <w:r>
        <w:rPr>
          <w:sz w:val="22"/>
          <w:szCs w:val="22"/>
        </w:rPr>
        <w:t xml:space="preserve">Because the sample comprises four school clusters of unequal size, models were trained on three schools and evaluated on the fourth.</w:t>
      </w:r>
    </w:p>
    <w:p>
      <w:pPr>
        <w:spacing w:after="80" w:before="160"/>
      </w:pPr>
      <w:r>
        <w:rPr>
          <w:b/>
          <w:bCs/>
          <w:sz w:val="20"/>
          <w:szCs w:val="20"/>
        </w:rPr>
        <w:t xml:space="preserve">Table R6. Leave-one-school-out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080"/>
        <w:gridCol w:w="1440"/>
        <w:gridCol w:w="1800"/>
        <w:gridCol w:w="1440"/>
        <w:gridCol w:w="1620"/>
      </w:tblGrid>
      <w:tr>
        <w:trPr>
          <w:tblHeader/>
        </w:trPr>
        <w:tc>
          <w:tcPr>
            <w:tcW w:type="dxa" w:w="1980"/>
            <w:shd w:fill="E8EDF2" w:val="clear"/>
            <w:tcMar>
              <w:top w:type="dxa" w:w="60"/>
              <w:left w:type="dxa" w:w="90"/>
              <w:bottom w:type="dxa" w:w="60"/>
              <w:right w:type="dxa" w:w="90"/>
            </w:tcMar>
          </w:tcPr>
          <w:p>
            <w:r>
              <w:rPr>
                <w:b/>
                <w:bCs/>
                <w:sz w:val="18"/>
                <w:szCs w:val="18"/>
              </w:rPr>
              <w:t xml:space="preserve">Held-out school</w:t>
            </w:r>
          </w:p>
        </w:tc>
        <w:tc>
          <w:tcPr>
            <w:tcW w:type="dxa" w:w="1080"/>
            <w:shd w:fill="E8EDF2" w:val="clear"/>
            <w:tcMar>
              <w:top w:type="dxa" w:w="60"/>
              <w:left w:type="dxa" w:w="90"/>
              <w:bottom w:type="dxa" w:w="60"/>
              <w:right w:type="dxa" w:w="90"/>
            </w:tcMar>
          </w:tcPr>
          <w:p>
            <w:r>
              <w:rPr>
                <w:b/>
                <w:bCs/>
                <w:sz w:val="18"/>
                <w:szCs w:val="18"/>
              </w:rPr>
              <w:t xml:space="preserve">Pupils</w:t>
            </w:r>
          </w:p>
        </w:tc>
        <w:tc>
          <w:tcPr>
            <w:tcW w:type="dxa" w:w="1440"/>
            <w:shd w:fill="E8EDF2" w:val="clear"/>
            <w:tcMar>
              <w:top w:type="dxa" w:w="60"/>
              <w:left w:type="dxa" w:w="90"/>
              <w:bottom w:type="dxa" w:w="60"/>
              <w:right w:type="dxa" w:w="90"/>
            </w:tcMar>
          </w:tcPr>
          <w:p>
            <w:r>
              <w:rPr>
                <w:b/>
                <w:bCs/>
                <w:sz w:val="18"/>
                <w:szCs w:val="18"/>
              </w:rPr>
              <w:t xml:space="preserve">Dropout cases</w:t>
            </w:r>
          </w:p>
        </w:tc>
        <w:tc>
          <w:tcPr>
            <w:tcW w:type="dxa" w:w="1800"/>
            <w:shd w:fill="E8EDF2" w:val="clear"/>
            <w:tcMar>
              <w:top w:type="dxa" w:w="60"/>
              <w:left w:type="dxa" w:w="90"/>
              <w:bottom w:type="dxa" w:w="60"/>
              <w:right w:type="dxa" w:w="90"/>
            </w:tcMar>
          </w:tcPr>
          <w:p>
            <w:r>
              <w:rPr>
                <w:b/>
                <w:bCs/>
                <w:sz w:val="18"/>
                <w:szCs w:val="18"/>
              </w:rPr>
              <w:t xml:space="preserve">AUC-PR (cross-entropy)</w:t>
            </w:r>
          </w:p>
        </w:tc>
        <w:tc>
          <w:tcPr>
            <w:tcW w:type="dxa" w:w="1440"/>
            <w:shd w:fill="E8EDF2" w:val="clear"/>
            <w:tcMar>
              <w:top w:type="dxa" w:w="60"/>
              <w:left w:type="dxa" w:w="90"/>
              <w:bottom w:type="dxa" w:w="60"/>
              <w:right w:type="dxa" w:w="90"/>
            </w:tcMar>
          </w:tcPr>
          <w:p>
            <w:r>
              <w:rPr>
                <w:b/>
                <w:bCs/>
                <w:sz w:val="18"/>
                <w:szCs w:val="18"/>
              </w:rPr>
              <w:t xml:space="preserve">AUC-PR (focal)</w:t>
            </w:r>
          </w:p>
        </w:tc>
        <w:tc>
          <w:tcPr>
            <w:tcW w:type="dxa" w:w="1620"/>
            <w:shd w:fill="E8EDF2" w:val="clear"/>
            <w:tcMar>
              <w:top w:type="dxa" w:w="60"/>
              <w:left w:type="dxa" w:w="90"/>
              <w:bottom w:type="dxa" w:w="60"/>
              <w:right w:type="dxa" w:w="90"/>
            </w:tcMar>
          </w:tcPr>
          <w:p>
            <w:r>
              <w:rPr>
                <w:b/>
                <w:bCs/>
                <w:sz w:val="18"/>
                <w:szCs w:val="18"/>
              </w:rPr>
              <w:t xml:space="preserve">Recall (cross-entropy)</w:t>
            </w:r>
          </w:p>
        </w:tc>
      </w:tr>
      <w:tr>
        <w:tc>
          <w:tcPr>
            <w:tcW w:type="dxa" w:w="1980"/>
            <w:tcMar>
              <w:top w:type="dxa" w:w="60"/>
              <w:left w:type="dxa" w:w="90"/>
              <w:bottom w:type="dxa" w:w="60"/>
              <w:right w:type="dxa" w:w="90"/>
            </w:tcMar>
          </w:tcPr>
          <w:p>
            <w:r>
              <w:rPr>
                <w:b w:val="false"/>
                <w:bCs w:val="false"/>
                <w:sz w:val="18"/>
                <w:szCs w:val="18"/>
              </w:rPr>
              <w:t xml:space="preserve">AYED_RC</w:t>
            </w:r>
          </w:p>
        </w:tc>
        <w:tc>
          <w:tcPr>
            <w:tcW w:type="dxa" w:w="1080"/>
            <w:tcMar>
              <w:top w:type="dxa" w:w="60"/>
              <w:left w:type="dxa" w:w="90"/>
              <w:bottom w:type="dxa" w:w="60"/>
              <w:right w:type="dxa" w:w="90"/>
            </w:tcMar>
          </w:tcPr>
          <w:p>
            <w:r>
              <w:rPr>
                <w:b w:val="false"/>
                <w:bCs w:val="false"/>
                <w:sz w:val="18"/>
                <w:szCs w:val="18"/>
              </w:rPr>
              <w:t xml:space="preserve">79</w:t>
            </w:r>
          </w:p>
        </w:tc>
        <w:tc>
          <w:tcPr>
            <w:tcW w:type="dxa" w:w="1440"/>
            <w:tcMar>
              <w:top w:type="dxa" w:w="60"/>
              <w:left w:type="dxa" w:w="90"/>
              <w:bottom w:type="dxa" w:w="60"/>
              <w:right w:type="dxa" w:w="90"/>
            </w:tcMar>
          </w:tcPr>
          <w:p>
            <w:r>
              <w:rPr>
                <w:b w:val="false"/>
                <w:bCs w:val="false"/>
                <w:sz w:val="18"/>
                <w:szCs w:val="18"/>
              </w:rPr>
              <w:t xml:space="preserve">6</w:t>
            </w:r>
          </w:p>
        </w:tc>
        <w:tc>
          <w:tcPr>
            <w:tcW w:type="dxa" w:w="1800"/>
            <w:tcMar>
              <w:top w:type="dxa" w:w="60"/>
              <w:left w:type="dxa" w:w="90"/>
              <w:bottom w:type="dxa" w:w="60"/>
              <w:right w:type="dxa" w:w="90"/>
            </w:tcMar>
          </w:tcPr>
          <w:p>
            <w:r>
              <w:rPr>
                <w:b w:val="false"/>
                <w:bCs w:val="false"/>
                <w:sz w:val="18"/>
                <w:szCs w:val="18"/>
              </w:rPr>
              <w:t xml:space="preserve">1.0000</w:t>
            </w:r>
          </w:p>
        </w:tc>
        <w:tc>
          <w:tcPr>
            <w:tcW w:type="dxa" w:w="1440"/>
            <w:tcMar>
              <w:top w:type="dxa" w:w="60"/>
              <w:left w:type="dxa" w:w="90"/>
              <w:bottom w:type="dxa" w:w="60"/>
              <w:right w:type="dxa" w:w="90"/>
            </w:tcMar>
          </w:tcPr>
          <w:p>
            <w:r>
              <w:rPr>
                <w:b w:val="false"/>
                <w:bCs w:val="false"/>
                <w:sz w:val="18"/>
                <w:szCs w:val="18"/>
              </w:rPr>
              <w:t xml:space="preserve">1.0000</w:t>
            </w:r>
          </w:p>
        </w:tc>
        <w:tc>
          <w:tcPr>
            <w:tcW w:type="dxa" w:w="1620"/>
            <w:tcMar>
              <w:top w:type="dxa" w:w="60"/>
              <w:left w:type="dxa" w:w="90"/>
              <w:bottom w:type="dxa" w:w="60"/>
              <w:right w:type="dxa" w:w="90"/>
            </w:tcMar>
          </w:tcPr>
          <w:p>
            <w:r>
              <w:rPr>
                <w:b w:val="false"/>
                <w:bCs w:val="false"/>
                <w:sz w:val="18"/>
                <w:szCs w:val="18"/>
              </w:rPr>
              <w:t xml:space="preserve">1.000</w:t>
            </w:r>
          </w:p>
        </w:tc>
      </w:tr>
      <w:tr>
        <w:tc>
          <w:tcPr>
            <w:tcW w:type="dxa" w:w="1980"/>
            <w:tcMar>
              <w:top w:type="dxa" w:w="60"/>
              <w:left w:type="dxa" w:w="90"/>
              <w:bottom w:type="dxa" w:w="60"/>
              <w:right w:type="dxa" w:w="90"/>
            </w:tcMar>
          </w:tcPr>
          <w:p>
            <w:r>
              <w:rPr>
                <w:b w:val="false"/>
                <w:bCs w:val="false"/>
                <w:sz w:val="18"/>
                <w:szCs w:val="18"/>
              </w:rPr>
              <w:t xml:space="preserve">WEWE</w:t>
            </w:r>
          </w:p>
        </w:tc>
        <w:tc>
          <w:tcPr>
            <w:tcW w:type="dxa" w:w="1080"/>
            <w:tcMar>
              <w:top w:type="dxa" w:w="60"/>
              <w:left w:type="dxa" w:w="90"/>
              <w:bottom w:type="dxa" w:w="60"/>
              <w:right w:type="dxa" w:w="90"/>
            </w:tcMar>
          </w:tcPr>
          <w:p>
            <w:r>
              <w:rPr>
                <w:b w:val="false"/>
                <w:bCs w:val="false"/>
                <w:sz w:val="18"/>
                <w:szCs w:val="18"/>
              </w:rPr>
              <w:t xml:space="preserve">481</w:t>
            </w:r>
          </w:p>
        </w:tc>
        <w:tc>
          <w:tcPr>
            <w:tcW w:type="dxa" w:w="1440"/>
            <w:tcMar>
              <w:top w:type="dxa" w:w="60"/>
              <w:left w:type="dxa" w:w="90"/>
              <w:bottom w:type="dxa" w:w="60"/>
              <w:right w:type="dxa" w:w="90"/>
            </w:tcMar>
          </w:tcPr>
          <w:p>
            <w:r>
              <w:rPr>
                <w:b w:val="false"/>
                <w:bCs w:val="false"/>
                <w:sz w:val="18"/>
                <w:szCs w:val="18"/>
              </w:rPr>
              <w:t xml:space="preserve">50</w:t>
            </w:r>
          </w:p>
        </w:tc>
        <w:tc>
          <w:tcPr>
            <w:tcW w:type="dxa" w:w="1800"/>
            <w:tcMar>
              <w:top w:type="dxa" w:w="60"/>
              <w:left w:type="dxa" w:w="90"/>
              <w:bottom w:type="dxa" w:w="60"/>
              <w:right w:type="dxa" w:w="90"/>
            </w:tcMar>
          </w:tcPr>
          <w:p>
            <w:r>
              <w:rPr>
                <w:b w:val="false"/>
                <w:bCs w:val="false"/>
                <w:sz w:val="18"/>
                <w:szCs w:val="18"/>
              </w:rPr>
              <w:t xml:space="preserve">0.9648</w:t>
            </w:r>
          </w:p>
        </w:tc>
        <w:tc>
          <w:tcPr>
            <w:tcW w:type="dxa" w:w="1440"/>
            <w:tcMar>
              <w:top w:type="dxa" w:w="60"/>
              <w:left w:type="dxa" w:w="90"/>
              <w:bottom w:type="dxa" w:w="60"/>
              <w:right w:type="dxa" w:w="90"/>
            </w:tcMar>
          </w:tcPr>
          <w:p>
            <w:r>
              <w:rPr>
                <w:b w:val="false"/>
                <w:bCs w:val="false"/>
                <w:sz w:val="18"/>
                <w:szCs w:val="18"/>
              </w:rPr>
              <w:t xml:space="preserve">0.9636</w:t>
            </w:r>
          </w:p>
        </w:tc>
        <w:tc>
          <w:tcPr>
            <w:tcW w:type="dxa" w:w="1620"/>
            <w:tcMar>
              <w:top w:type="dxa" w:w="60"/>
              <w:left w:type="dxa" w:w="90"/>
              <w:bottom w:type="dxa" w:w="60"/>
              <w:right w:type="dxa" w:w="90"/>
            </w:tcMar>
          </w:tcPr>
          <w:p>
            <w:r>
              <w:rPr>
                <w:b w:val="false"/>
                <w:bCs w:val="false"/>
                <w:sz w:val="18"/>
                <w:szCs w:val="18"/>
              </w:rPr>
              <w:t xml:space="preserve">0.940</w:t>
            </w:r>
          </w:p>
        </w:tc>
      </w:tr>
      <w:tr>
        <w:tc>
          <w:tcPr>
            <w:tcW w:type="dxa" w:w="1980"/>
            <w:tcMar>
              <w:top w:type="dxa" w:w="60"/>
              <w:left w:type="dxa" w:w="90"/>
              <w:bottom w:type="dxa" w:w="60"/>
              <w:right w:type="dxa" w:w="90"/>
            </w:tcMar>
          </w:tcPr>
          <w:p>
            <w:r>
              <w:rPr>
                <w:b w:val="false"/>
                <w:bCs w:val="false"/>
                <w:sz w:val="18"/>
                <w:szCs w:val="18"/>
              </w:rPr>
              <w:t xml:space="preserve">KNU_JHS</w:t>
            </w:r>
          </w:p>
        </w:tc>
        <w:tc>
          <w:tcPr>
            <w:tcW w:type="dxa" w:w="1080"/>
            <w:tcMar>
              <w:top w:type="dxa" w:w="60"/>
              <w:left w:type="dxa" w:w="90"/>
              <w:bottom w:type="dxa" w:w="60"/>
              <w:right w:type="dxa" w:w="90"/>
            </w:tcMar>
          </w:tcPr>
          <w:p>
            <w:r>
              <w:rPr>
                <w:b w:val="false"/>
                <w:bCs w:val="false"/>
                <w:sz w:val="18"/>
                <w:szCs w:val="18"/>
              </w:rPr>
              <w:t xml:space="preserve">329</w:t>
            </w:r>
          </w:p>
        </w:tc>
        <w:tc>
          <w:tcPr>
            <w:tcW w:type="dxa" w:w="1440"/>
            <w:tcMar>
              <w:top w:type="dxa" w:w="60"/>
              <w:left w:type="dxa" w:w="90"/>
              <w:bottom w:type="dxa" w:w="60"/>
              <w:right w:type="dxa" w:w="90"/>
            </w:tcMar>
          </w:tcPr>
          <w:p>
            <w:r>
              <w:rPr>
                <w:b w:val="false"/>
                <w:bCs w:val="false"/>
                <w:sz w:val="18"/>
                <w:szCs w:val="18"/>
              </w:rPr>
              <w:t xml:space="preserve">11</w:t>
            </w:r>
          </w:p>
        </w:tc>
        <w:tc>
          <w:tcPr>
            <w:tcW w:type="dxa" w:w="1800"/>
            <w:tcMar>
              <w:top w:type="dxa" w:w="60"/>
              <w:left w:type="dxa" w:w="90"/>
              <w:bottom w:type="dxa" w:w="60"/>
              <w:right w:type="dxa" w:w="90"/>
            </w:tcMar>
          </w:tcPr>
          <w:p>
            <w:r>
              <w:rPr>
                <w:b w:val="false"/>
                <w:bCs w:val="false"/>
                <w:sz w:val="18"/>
                <w:szCs w:val="18"/>
              </w:rPr>
              <w:t xml:space="preserve">0.9526</w:t>
            </w:r>
          </w:p>
        </w:tc>
        <w:tc>
          <w:tcPr>
            <w:tcW w:type="dxa" w:w="1440"/>
            <w:tcMar>
              <w:top w:type="dxa" w:w="60"/>
              <w:left w:type="dxa" w:w="90"/>
              <w:bottom w:type="dxa" w:w="60"/>
              <w:right w:type="dxa" w:w="90"/>
            </w:tcMar>
          </w:tcPr>
          <w:p>
            <w:r>
              <w:rPr>
                <w:b w:val="false"/>
                <w:bCs w:val="false"/>
                <w:sz w:val="18"/>
                <w:szCs w:val="18"/>
              </w:rPr>
              <w:t xml:space="preserve">0.9476</w:t>
            </w:r>
          </w:p>
        </w:tc>
        <w:tc>
          <w:tcPr>
            <w:tcW w:type="dxa" w:w="1620"/>
            <w:tcMar>
              <w:top w:type="dxa" w:w="60"/>
              <w:left w:type="dxa" w:w="90"/>
              <w:bottom w:type="dxa" w:w="60"/>
              <w:right w:type="dxa" w:w="90"/>
            </w:tcMar>
          </w:tcPr>
          <w:p>
            <w:r>
              <w:rPr>
                <w:b w:val="false"/>
                <w:bCs w:val="false"/>
                <w:sz w:val="18"/>
                <w:szCs w:val="18"/>
              </w:rPr>
              <w:t xml:space="preserve">0.909</w:t>
            </w:r>
          </w:p>
        </w:tc>
      </w:tr>
      <w:tr>
        <w:tc>
          <w:tcPr>
            <w:tcW w:type="dxa" w:w="1980"/>
            <w:tcMar>
              <w:top w:type="dxa" w:w="60"/>
              <w:left w:type="dxa" w:w="90"/>
              <w:bottom w:type="dxa" w:w="60"/>
              <w:right w:type="dxa" w:w="90"/>
            </w:tcMar>
          </w:tcPr>
          <w:p>
            <w:r>
              <w:rPr>
                <w:b w:val="false"/>
                <w:bCs w:val="false"/>
                <w:sz w:val="18"/>
                <w:szCs w:val="18"/>
              </w:rPr>
              <w:t xml:space="preserve">SHI</w:t>
            </w:r>
          </w:p>
        </w:tc>
        <w:tc>
          <w:tcPr>
            <w:tcW w:type="dxa" w:w="1080"/>
            <w:tcMar>
              <w:top w:type="dxa" w:w="60"/>
              <w:left w:type="dxa" w:w="90"/>
              <w:bottom w:type="dxa" w:w="60"/>
              <w:right w:type="dxa" w:w="90"/>
            </w:tcMar>
          </w:tcPr>
          <w:p>
            <w:r>
              <w:rPr>
                <w:b w:val="false"/>
                <w:bCs w:val="false"/>
                <w:sz w:val="18"/>
                <w:szCs w:val="18"/>
              </w:rPr>
              <w:t xml:space="preserve">92</w:t>
            </w:r>
          </w:p>
        </w:tc>
        <w:tc>
          <w:tcPr>
            <w:tcW w:type="dxa" w:w="1440"/>
            <w:tcMar>
              <w:top w:type="dxa" w:w="60"/>
              <w:left w:type="dxa" w:w="90"/>
              <w:bottom w:type="dxa" w:w="60"/>
              <w:right w:type="dxa" w:w="90"/>
            </w:tcMar>
          </w:tcPr>
          <w:p>
            <w:r>
              <w:rPr>
                <w:b w:val="false"/>
                <w:bCs w:val="false"/>
                <w:sz w:val="18"/>
                <w:szCs w:val="18"/>
              </w:rPr>
              <w:t xml:space="preserve">19</w:t>
            </w:r>
          </w:p>
        </w:tc>
        <w:tc>
          <w:tcPr>
            <w:tcW w:type="dxa" w:w="1800"/>
            <w:tcMar>
              <w:top w:type="dxa" w:w="60"/>
              <w:left w:type="dxa" w:w="90"/>
              <w:bottom w:type="dxa" w:w="60"/>
              <w:right w:type="dxa" w:w="90"/>
            </w:tcMar>
          </w:tcPr>
          <w:p>
            <w:r>
              <w:rPr>
                <w:b w:val="false"/>
                <w:bCs w:val="false"/>
                <w:sz w:val="18"/>
                <w:szCs w:val="18"/>
              </w:rPr>
              <w:t xml:space="preserve">0.9331</w:t>
            </w:r>
          </w:p>
        </w:tc>
        <w:tc>
          <w:tcPr>
            <w:tcW w:type="dxa" w:w="1440"/>
            <w:tcMar>
              <w:top w:type="dxa" w:w="60"/>
              <w:left w:type="dxa" w:w="90"/>
              <w:bottom w:type="dxa" w:w="60"/>
              <w:right w:type="dxa" w:w="90"/>
            </w:tcMar>
          </w:tcPr>
          <w:p>
            <w:r>
              <w:rPr>
                <w:b w:val="false"/>
                <w:bCs w:val="false"/>
                <w:sz w:val="18"/>
                <w:szCs w:val="18"/>
              </w:rPr>
              <w:t xml:space="preserve">0.8520</w:t>
            </w:r>
          </w:p>
        </w:tc>
        <w:tc>
          <w:tcPr>
            <w:tcW w:type="dxa" w:w="1620"/>
            <w:tcMar>
              <w:top w:type="dxa" w:w="60"/>
              <w:left w:type="dxa" w:w="90"/>
              <w:bottom w:type="dxa" w:w="60"/>
              <w:right w:type="dxa" w:w="90"/>
            </w:tcMar>
          </w:tcPr>
          <w:p>
            <w:r>
              <w:rPr>
                <w:b w:val="false"/>
                <w:bCs w:val="false"/>
                <w:sz w:val="18"/>
                <w:szCs w:val="18"/>
              </w:rPr>
              <w:t xml:space="preserve">0.263</w:t>
            </w:r>
          </w:p>
        </w:tc>
      </w:tr>
    </w:tbl>
    <w:p>
      <w:pPr>
        <w:spacing w:after="140"/>
      </w:pPr>
      <w:r>
        <w:rPr>
          <w:sz w:val="22"/>
          <w:szCs w:val="22"/>
        </w:rPr>
        <w:t xml:space="preserve">Ranking performance transfers across schools: AUC-PR remains between 0.85 and 1.00 when an entire school is withheld, which indicates that performance does not depend on the model having seen the school in training. The cluster-artefact concern is therefore not supported.</w:t>
      </w:r>
    </w:p>
    <w:p>
      <w:pPr>
        <w:spacing w:after="140"/>
      </w:pPr>
      <w:r>
        <w:rPr>
          <w:sz w:val="22"/>
          <w:szCs w:val="22"/>
        </w:rPr>
        <w:t xml:space="preserve">Calibration does not transfer. At the fixed 0.5 threshold, recall on the withheld SHI falls to 0.263 despite an AUC-PR of 0.933. SHI has the highest dropout rate in the sample (20.7%), and a threshold calibrated on schools with lower base rates is too conservative there. This is an operationally important finding: a model deployed in a new school would rank pupils usefully but would require local threshold calibration. It is also the only setting in which focal loss improves recall over cross-entropy (0.316 against 0.263), consistent with the instance-level evidence in R5.</w:t>
      </w:r>
    </w:p>
    <w:p>
      <w:pPr>
        <w:spacing w:after="160"/>
      </w:pPr>
      <w:r>
        <w:rPr>
          <w:i/>
          <w:iCs/>
          <w:sz w:val="18"/>
          <w:szCs w:val="18"/>
        </w:rPr>
        <w:t xml:space="preserve">With four clusters this analysis is a bounded robustness check, not a generalisation estimate.</w:t>
      </w:r>
    </w:p>
    <w:p>
      <w:pPr>
        <w:pStyle w:val="Heading1"/>
        <w:spacing w:after="160" w:before="280"/>
      </w:pPr>
      <w:r>
        <w:t xml:space="preserve">R8  Held-out evaluation</w:t>
      </w:r>
    </w:p>
    <w:p>
      <w:pPr>
        <w:spacing w:after="140"/>
      </w:pPr>
      <w:r>
        <w:rPr>
          <w:sz w:val="22"/>
          <w:szCs w:val="22"/>
        </w:rPr>
        <w:t xml:space="preserve">The 197-pupil test partition was scored once, after the configuration was frozen. All nine experimental arms were scored in the same pass.</w:t>
      </w:r>
    </w:p>
    <w:p>
      <w:pPr>
        <w:spacing w:after="80" w:before="160"/>
      </w:pPr>
      <w:r>
        <w:rPr>
          <w:b/>
          <w:bCs/>
          <w:sz w:val="20"/>
          <w:szCs w:val="20"/>
        </w:rPr>
        <w:t xml:space="preserve">Table R7. Test partition, scored once (197 pupils, 17 dropout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6"/>
        <w:gridCol w:w="1030"/>
        <w:gridCol w:w="859"/>
        <w:gridCol w:w="945"/>
        <w:gridCol w:w="1202"/>
        <w:gridCol w:w="1202"/>
        <w:gridCol w:w="515"/>
        <w:gridCol w:w="515"/>
        <w:gridCol w:w="515"/>
      </w:tblGrid>
      <w:tr>
        <w:trPr>
          <w:tblHeader/>
        </w:trPr>
        <w:tc>
          <w:tcPr>
            <w:tcW w:type="dxa" w:w="2576"/>
            <w:shd w:fill="E8EDF2" w:val="clear"/>
            <w:tcMar>
              <w:top w:type="dxa" w:w="60"/>
              <w:left w:type="dxa" w:w="90"/>
              <w:bottom w:type="dxa" w:w="60"/>
              <w:right w:type="dxa" w:w="90"/>
            </w:tcMar>
          </w:tcPr>
          <w:p>
            <w:r>
              <w:rPr>
                <w:b/>
                <w:bCs/>
                <w:sz w:val="18"/>
                <w:szCs w:val="18"/>
              </w:rPr>
              <w:t xml:space="preserve">Arm</w:t>
            </w:r>
          </w:p>
        </w:tc>
        <w:tc>
          <w:tcPr>
            <w:tcW w:type="dxa" w:w="1030"/>
            <w:shd w:fill="E8EDF2" w:val="clear"/>
            <w:tcMar>
              <w:top w:type="dxa" w:w="60"/>
              <w:left w:type="dxa" w:w="90"/>
              <w:bottom w:type="dxa" w:w="60"/>
              <w:right w:type="dxa" w:w="90"/>
            </w:tcMar>
          </w:tcPr>
          <w:p>
            <w:r>
              <w:rPr>
                <w:b/>
                <w:bCs/>
                <w:sz w:val="18"/>
                <w:szCs w:val="18"/>
              </w:rPr>
              <w:t xml:space="preserve">Accuracy</w:t>
            </w:r>
          </w:p>
        </w:tc>
        <w:tc>
          <w:tcPr>
            <w:tcW w:type="dxa" w:w="859"/>
            <w:shd w:fill="E8EDF2" w:val="clear"/>
            <w:tcMar>
              <w:top w:type="dxa" w:w="60"/>
              <w:left w:type="dxa" w:w="90"/>
              <w:bottom w:type="dxa" w:w="60"/>
              <w:right w:type="dxa" w:w="90"/>
            </w:tcMar>
          </w:tcPr>
          <w:p>
            <w:r>
              <w:rPr>
                <w:b/>
                <w:bCs/>
                <w:sz w:val="18"/>
                <w:szCs w:val="18"/>
              </w:rPr>
              <w:t xml:space="preserve">Recall</w:t>
            </w:r>
          </w:p>
        </w:tc>
        <w:tc>
          <w:tcPr>
            <w:tcW w:type="dxa" w:w="945"/>
            <w:shd w:fill="E8EDF2" w:val="clear"/>
            <w:tcMar>
              <w:top w:type="dxa" w:w="60"/>
              <w:left w:type="dxa" w:w="90"/>
              <w:bottom w:type="dxa" w:w="60"/>
              <w:right w:type="dxa" w:w="90"/>
            </w:tcMar>
          </w:tcPr>
          <w:p>
            <w:r>
              <w:rPr>
                <w:b/>
                <w:bCs/>
                <w:sz w:val="18"/>
                <w:szCs w:val="18"/>
              </w:rPr>
              <w:t xml:space="preserve">Precision</w:t>
            </w:r>
          </w:p>
        </w:tc>
        <w:tc>
          <w:tcPr>
            <w:tcW w:type="dxa" w:w="1202"/>
            <w:shd w:fill="E8EDF2" w:val="clear"/>
            <w:tcMar>
              <w:top w:type="dxa" w:w="60"/>
              <w:left w:type="dxa" w:w="90"/>
              <w:bottom w:type="dxa" w:w="60"/>
              <w:right w:type="dxa" w:w="90"/>
            </w:tcMar>
          </w:tcPr>
          <w:p>
            <w:r>
              <w:rPr>
                <w:b/>
                <w:bCs/>
                <w:sz w:val="18"/>
                <w:szCs w:val="18"/>
              </w:rPr>
              <w:t xml:space="preserve">AUC-ROC</w:t>
            </w:r>
          </w:p>
        </w:tc>
        <w:tc>
          <w:tcPr>
            <w:tcW w:type="dxa" w:w="1202"/>
            <w:shd w:fill="E8EDF2" w:val="clear"/>
            <w:tcMar>
              <w:top w:type="dxa" w:w="60"/>
              <w:left w:type="dxa" w:w="90"/>
              <w:bottom w:type="dxa" w:w="60"/>
              <w:right w:type="dxa" w:w="90"/>
            </w:tcMar>
          </w:tcPr>
          <w:p>
            <w:r>
              <w:rPr>
                <w:b/>
                <w:bCs/>
                <w:sz w:val="18"/>
                <w:szCs w:val="18"/>
              </w:rPr>
              <w:t xml:space="preserve">AUC-PR</w:t>
            </w:r>
          </w:p>
        </w:tc>
        <w:tc>
          <w:tcPr>
            <w:tcW w:type="dxa" w:w="515"/>
            <w:shd w:fill="E8EDF2" w:val="clear"/>
            <w:tcMar>
              <w:top w:type="dxa" w:w="60"/>
              <w:left w:type="dxa" w:w="90"/>
              <w:bottom w:type="dxa" w:w="60"/>
              <w:right w:type="dxa" w:w="90"/>
            </w:tcMar>
          </w:tcPr>
          <w:p>
            <w:r>
              <w:rPr>
                <w:b/>
                <w:bCs/>
                <w:sz w:val="18"/>
                <w:szCs w:val="18"/>
              </w:rPr>
              <w:t xml:space="preserve">TP</w:t>
            </w:r>
          </w:p>
        </w:tc>
        <w:tc>
          <w:tcPr>
            <w:tcW w:type="dxa" w:w="515"/>
            <w:shd w:fill="E8EDF2" w:val="clear"/>
            <w:tcMar>
              <w:top w:type="dxa" w:w="60"/>
              <w:left w:type="dxa" w:w="90"/>
              <w:bottom w:type="dxa" w:w="60"/>
              <w:right w:type="dxa" w:w="90"/>
            </w:tcMar>
          </w:tcPr>
          <w:p>
            <w:r>
              <w:rPr>
                <w:b/>
                <w:bCs/>
                <w:sz w:val="18"/>
                <w:szCs w:val="18"/>
              </w:rPr>
              <w:t xml:space="preserve">FP</w:t>
            </w:r>
          </w:p>
        </w:tc>
        <w:tc>
          <w:tcPr>
            <w:tcW w:type="dxa" w:w="515"/>
            <w:shd w:fill="E8EDF2" w:val="clear"/>
            <w:tcMar>
              <w:top w:type="dxa" w:w="60"/>
              <w:left w:type="dxa" w:w="90"/>
              <w:bottom w:type="dxa" w:w="60"/>
              <w:right w:type="dxa" w:w="90"/>
            </w:tcMar>
          </w:tcPr>
          <w:p>
            <w:r>
              <w:rPr>
                <w:b/>
                <w:bCs/>
                <w:sz w:val="18"/>
                <w:szCs w:val="18"/>
              </w:rPr>
              <w:t xml:space="preserve">FN</w:t>
            </w:r>
          </w:p>
        </w:tc>
      </w:tr>
      <w:tr>
        <w:tc>
          <w:tcPr>
            <w:tcW w:type="dxa" w:w="2576"/>
            <w:tcMar>
              <w:top w:type="dxa" w:w="60"/>
              <w:left w:type="dxa" w:w="90"/>
              <w:bottom w:type="dxa" w:w="60"/>
              <w:right w:type="dxa" w:w="90"/>
            </w:tcMar>
          </w:tcPr>
          <w:p>
            <w:r>
              <w:rPr>
                <w:b w:val="false"/>
                <w:bCs w:val="false"/>
                <w:sz w:val="18"/>
                <w:szCs w:val="18"/>
              </w:rPr>
              <w:t xml:space="preserve">E  cross-entropy (matched reference)</w:t>
            </w:r>
          </w:p>
        </w:tc>
        <w:tc>
          <w:tcPr>
            <w:tcW w:type="dxa" w:w="1030"/>
            <w:tcMar>
              <w:top w:type="dxa" w:w="60"/>
              <w:left w:type="dxa" w:w="90"/>
              <w:bottom w:type="dxa" w:w="60"/>
              <w:right w:type="dxa" w:w="90"/>
            </w:tcMar>
          </w:tcPr>
          <w:p>
            <w:r>
              <w:rPr>
                <w:b w:val="false"/>
                <w:bCs w:val="false"/>
                <w:sz w:val="18"/>
                <w:szCs w:val="18"/>
              </w:rPr>
              <w:t xml:space="preserve">0.9949</w:t>
            </w:r>
          </w:p>
        </w:tc>
        <w:tc>
          <w:tcPr>
            <w:tcW w:type="dxa" w:w="859"/>
            <w:tcMar>
              <w:top w:type="dxa" w:w="60"/>
              <w:left w:type="dxa" w:w="90"/>
              <w:bottom w:type="dxa" w:w="60"/>
              <w:right w:type="dxa" w:w="90"/>
            </w:tcMar>
          </w:tcPr>
          <w:p>
            <w:r>
              <w:rPr>
                <w:b w:val="false"/>
                <w:bCs w:val="false"/>
                <w:sz w:val="18"/>
                <w:szCs w:val="18"/>
              </w:rPr>
              <w:t xml:space="preserve">0.941</w:t>
            </w:r>
          </w:p>
        </w:tc>
        <w:tc>
          <w:tcPr>
            <w:tcW w:type="dxa" w:w="945"/>
            <w:tcMar>
              <w:top w:type="dxa" w:w="60"/>
              <w:left w:type="dxa" w:w="90"/>
              <w:bottom w:type="dxa" w:w="60"/>
              <w:right w:type="dxa" w:w="90"/>
            </w:tcMar>
          </w:tcPr>
          <w:p>
            <w:r>
              <w:rPr>
                <w:b w:val="false"/>
                <w:bCs w:val="false"/>
                <w:sz w:val="18"/>
                <w:szCs w:val="18"/>
              </w:rPr>
              <w:t xml:space="preserve">1.000</w:t>
            </w:r>
          </w:p>
        </w:tc>
        <w:tc>
          <w:tcPr>
            <w:tcW w:type="dxa" w:w="1202"/>
            <w:tcMar>
              <w:top w:type="dxa" w:w="60"/>
              <w:left w:type="dxa" w:w="90"/>
              <w:bottom w:type="dxa" w:w="60"/>
              <w:right w:type="dxa" w:w="90"/>
            </w:tcMar>
          </w:tcPr>
          <w:p>
            <w:r>
              <w:rPr>
                <w:b w:val="false"/>
                <w:bCs w:val="false"/>
                <w:sz w:val="18"/>
                <w:szCs w:val="18"/>
              </w:rPr>
              <w:t xml:space="preserve">0.9971</w:t>
            </w:r>
          </w:p>
        </w:tc>
        <w:tc>
          <w:tcPr>
            <w:tcW w:type="dxa" w:w="1202"/>
            <w:tcMar>
              <w:top w:type="dxa" w:w="60"/>
              <w:left w:type="dxa" w:w="90"/>
              <w:bottom w:type="dxa" w:w="60"/>
              <w:right w:type="dxa" w:w="90"/>
            </w:tcMar>
          </w:tcPr>
          <w:p>
            <w:r>
              <w:rPr>
                <w:b w:val="false"/>
                <w:bCs w:val="false"/>
                <w:sz w:val="18"/>
                <w:szCs w:val="18"/>
              </w:rPr>
              <w:t xml:space="preserve">0.9796</w:t>
            </w:r>
          </w:p>
        </w:tc>
        <w:tc>
          <w:tcPr>
            <w:tcW w:type="dxa" w:w="515"/>
            <w:tcMar>
              <w:top w:type="dxa" w:w="60"/>
              <w:left w:type="dxa" w:w="90"/>
              <w:bottom w:type="dxa" w:w="60"/>
              <w:right w:type="dxa" w:w="90"/>
            </w:tcMar>
          </w:tcPr>
          <w:p>
            <w:r>
              <w:rPr>
                <w:b w:val="false"/>
                <w:bCs w:val="false"/>
                <w:sz w:val="18"/>
                <w:szCs w:val="18"/>
              </w:rPr>
              <w:t xml:space="preserve">16</w:t>
            </w:r>
          </w:p>
        </w:tc>
        <w:tc>
          <w:tcPr>
            <w:tcW w:type="dxa" w:w="515"/>
            <w:tcMar>
              <w:top w:type="dxa" w:w="60"/>
              <w:left w:type="dxa" w:w="90"/>
              <w:bottom w:type="dxa" w:w="60"/>
              <w:right w:type="dxa" w:w="90"/>
            </w:tcMar>
          </w:tcPr>
          <w:p>
            <w:r>
              <w:rPr>
                <w:b w:val="false"/>
                <w:bCs w:val="false"/>
                <w:sz w:val="18"/>
                <w:szCs w:val="18"/>
              </w:rPr>
              <w:t xml:space="preserve">0</w:t>
            </w:r>
          </w:p>
        </w:tc>
        <w:tc>
          <w:tcPr>
            <w:tcW w:type="dxa" w:w="515"/>
            <w:tcMar>
              <w:top w:type="dxa" w:w="60"/>
              <w:left w:type="dxa" w:w="90"/>
              <w:bottom w:type="dxa" w:w="60"/>
              <w:right w:type="dxa" w:w="90"/>
            </w:tcMar>
          </w:tcPr>
          <w:p>
            <w:r>
              <w:rPr>
                <w:b w:val="false"/>
                <w:bCs w:val="false"/>
                <w:sz w:val="18"/>
                <w:szCs w:val="18"/>
              </w:rPr>
              <w:t xml:space="preserve">1</w:t>
            </w:r>
          </w:p>
        </w:tc>
      </w:tr>
      <w:tr>
        <w:tc>
          <w:tcPr>
            <w:tcW w:type="dxa" w:w="2576"/>
            <w:tcMar>
              <w:top w:type="dxa" w:w="60"/>
              <w:left w:type="dxa" w:w="90"/>
              <w:bottom w:type="dxa" w:w="60"/>
              <w:right w:type="dxa" w:w="90"/>
            </w:tcMar>
          </w:tcPr>
          <w:p>
            <w:r>
              <w:rPr>
                <w:b w:val="false"/>
                <w:bCs w:val="false"/>
                <w:sz w:val="18"/>
                <w:szCs w:val="18"/>
              </w:rPr>
              <w:t xml:space="preserve">G  focal (E-LightGBM)</w:t>
            </w:r>
          </w:p>
        </w:tc>
        <w:tc>
          <w:tcPr>
            <w:tcW w:type="dxa" w:w="1030"/>
            <w:tcMar>
              <w:top w:type="dxa" w:w="60"/>
              <w:left w:type="dxa" w:w="90"/>
              <w:bottom w:type="dxa" w:w="60"/>
              <w:right w:type="dxa" w:w="90"/>
            </w:tcMar>
          </w:tcPr>
          <w:p>
            <w:r>
              <w:rPr>
                <w:b w:val="false"/>
                <w:bCs w:val="false"/>
                <w:sz w:val="18"/>
                <w:szCs w:val="18"/>
              </w:rPr>
              <w:t xml:space="preserve">0.9949</w:t>
            </w:r>
          </w:p>
        </w:tc>
        <w:tc>
          <w:tcPr>
            <w:tcW w:type="dxa" w:w="859"/>
            <w:tcMar>
              <w:top w:type="dxa" w:w="60"/>
              <w:left w:type="dxa" w:w="90"/>
              <w:bottom w:type="dxa" w:w="60"/>
              <w:right w:type="dxa" w:w="90"/>
            </w:tcMar>
          </w:tcPr>
          <w:p>
            <w:r>
              <w:rPr>
                <w:b w:val="false"/>
                <w:bCs w:val="false"/>
                <w:sz w:val="18"/>
                <w:szCs w:val="18"/>
              </w:rPr>
              <w:t xml:space="preserve">0.941</w:t>
            </w:r>
          </w:p>
        </w:tc>
        <w:tc>
          <w:tcPr>
            <w:tcW w:type="dxa" w:w="945"/>
            <w:tcMar>
              <w:top w:type="dxa" w:w="60"/>
              <w:left w:type="dxa" w:w="90"/>
              <w:bottom w:type="dxa" w:w="60"/>
              <w:right w:type="dxa" w:w="90"/>
            </w:tcMar>
          </w:tcPr>
          <w:p>
            <w:r>
              <w:rPr>
                <w:b w:val="false"/>
                <w:bCs w:val="false"/>
                <w:sz w:val="18"/>
                <w:szCs w:val="18"/>
              </w:rPr>
              <w:t xml:space="preserve">1.000</w:t>
            </w:r>
          </w:p>
        </w:tc>
        <w:tc>
          <w:tcPr>
            <w:tcW w:type="dxa" w:w="1202"/>
            <w:tcMar>
              <w:top w:type="dxa" w:w="60"/>
              <w:left w:type="dxa" w:w="90"/>
              <w:bottom w:type="dxa" w:w="60"/>
              <w:right w:type="dxa" w:w="90"/>
            </w:tcMar>
          </w:tcPr>
          <w:p>
            <w:r>
              <w:rPr>
                <w:b w:val="false"/>
                <w:bCs w:val="false"/>
                <w:sz w:val="18"/>
                <w:szCs w:val="18"/>
              </w:rPr>
              <w:t xml:space="preserve">0.9964</w:t>
            </w:r>
          </w:p>
        </w:tc>
        <w:tc>
          <w:tcPr>
            <w:tcW w:type="dxa" w:w="1202"/>
            <w:tcMar>
              <w:top w:type="dxa" w:w="60"/>
              <w:left w:type="dxa" w:w="90"/>
              <w:bottom w:type="dxa" w:w="60"/>
              <w:right w:type="dxa" w:w="90"/>
            </w:tcMar>
          </w:tcPr>
          <w:p>
            <w:r>
              <w:rPr>
                <w:b w:val="false"/>
                <w:bCs w:val="false"/>
                <w:sz w:val="18"/>
                <w:szCs w:val="18"/>
              </w:rPr>
              <w:t xml:space="preserve">0.9769</w:t>
            </w:r>
          </w:p>
        </w:tc>
        <w:tc>
          <w:tcPr>
            <w:tcW w:type="dxa" w:w="515"/>
            <w:tcMar>
              <w:top w:type="dxa" w:w="60"/>
              <w:left w:type="dxa" w:w="90"/>
              <w:bottom w:type="dxa" w:w="60"/>
              <w:right w:type="dxa" w:w="90"/>
            </w:tcMar>
          </w:tcPr>
          <w:p>
            <w:r>
              <w:rPr>
                <w:b w:val="false"/>
                <w:bCs w:val="false"/>
                <w:sz w:val="18"/>
                <w:szCs w:val="18"/>
              </w:rPr>
              <w:t xml:space="preserve">16</w:t>
            </w:r>
          </w:p>
        </w:tc>
        <w:tc>
          <w:tcPr>
            <w:tcW w:type="dxa" w:w="515"/>
            <w:tcMar>
              <w:top w:type="dxa" w:w="60"/>
              <w:left w:type="dxa" w:w="90"/>
              <w:bottom w:type="dxa" w:w="60"/>
              <w:right w:type="dxa" w:w="90"/>
            </w:tcMar>
          </w:tcPr>
          <w:p>
            <w:r>
              <w:rPr>
                <w:b w:val="false"/>
                <w:bCs w:val="false"/>
                <w:sz w:val="18"/>
                <w:szCs w:val="18"/>
              </w:rPr>
              <w:t xml:space="preserve">0</w:t>
            </w:r>
          </w:p>
        </w:tc>
        <w:tc>
          <w:tcPr>
            <w:tcW w:type="dxa" w:w="515"/>
            <w:tcMar>
              <w:top w:type="dxa" w:w="60"/>
              <w:left w:type="dxa" w:w="90"/>
              <w:bottom w:type="dxa" w:w="60"/>
              <w:right w:type="dxa" w:w="90"/>
            </w:tcMar>
          </w:tcPr>
          <w:p>
            <w:r>
              <w:rPr>
                <w:b w:val="false"/>
                <w:bCs w:val="false"/>
                <w:sz w:val="18"/>
                <w:szCs w:val="18"/>
              </w:rPr>
              <w:t xml:space="preserve">1</w:t>
            </w:r>
          </w:p>
        </w:tc>
      </w:tr>
      <w:tr>
        <w:tc>
          <w:tcPr>
            <w:tcW w:type="dxa" w:w="2576"/>
            <w:tcMar>
              <w:top w:type="dxa" w:w="60"/>
              <w:left w:type="dxa" w:w="90"/>
              <w:bottom w:type="dxa" w:w="60"/>
              <w:right w:type="dxa" w:w="90"/>
            </w:tcMar>
          </w:tcPr>
          <w:p>
            <w:r>
              <w:rPr>
                <w:b w:val="false"/>
                <w:bCs w:val="false"/>
                <w:sz w:val="18"/>
                <w:szCs w:val="18"/>
              </w:rPr>
              <w:t xml:space="preserve">A  records only, cross-entropy</w:t>
            </w:r>
          </w:p>
        </w:tc>
        <w:tc>
          <w:tcPr>
            <w:tcW w:type="dxa" w:w="1030"/>
            <w:tcMar>
              <w:top w:type="dxa" w:w="60"/>
              <w:left w:type="dxa" w:w="90"/>
              <w:bottom w:type="dxa" w:w="60"/>
              <w:right w:type="dxa" w:w="90"/>
            </w:tcMar>
          </w:tcPr>
          <w:p>
            <w:r>
              <w:rPr>
                <w:b w:val="false"/>
                <w:bCs w:val="false"/>
                <w:sz w:val="18"/>
                <w:szCs w:val="18"/>
              </w:rPr>
              <w:t xml:space="preserve">0.9949</w:t>
            </w:r>
          </w:p>
        </w:tc>
        <w:tc>
          <w:tcPr>
            <w:tcW w:type="dxa" w:w="859"/>
            <w:tcMar>
              <w:top w:type="dxa" w:w="60"/>
              <w:left w:type="dxa" w:w="90"/>
              <w:bottom w:type="dxa" w:w="60"/>
              <w:right w:type="dxa" w:w="90"/>
            </w:tcMar>
          </w:tcPr>
          <w:p>
            <w:r>
              <w:rPr>
                <w:b w:val="false"/>
                <w:bCs w:val="false"/>
                <w:sz w:val="18"/>
                <w:szCs w:val="18"/>
              </w:rPr>
              <w:t xml:space="preserve">0.941</w:t>
            </w:r>
          </w:p>
        </w:tc>
        <w:tc>
          <w:tcPr>
            <w:tcW w:type="dxa" w:w="945"/>
            <w:tcMar>
              <w:top w:type="dxa" w:w="60"/>
              <w:left w:type="dxa" w:w="90"/>
              <w:bottom w:type="dxa" w:w="60"/>
              <w:right w:type="dxa" w:w="90"/>
            </w:tcMar>
          </w:tcPr>
          <w:p>
            <w:r>
              <w:rPr>
                <w:b w:val="false"/>
                <w:bCs w:val="false"/>
                <w:sz w:val="18"/>
                <w:szCs w:val="18"/>
              </w:rPr>
              <w:t xml:space="preserve">1.000</w:t>
            </w:r>
          </w:p>
        </w:tc>
        <w:tc>
          <w:tcPr>
            <w:tcW w:type="dxa" w:w="1202"/>
            <w:tcMar>
              <w:top w:type="dxa" w:w="60"/>
              <w:left w:type="dxa" w:w="90"/>
              <w:bottom w:type="dxa" w:w="60"/>
              <w:right w:type="dxa" w:w="90"/>
            </w:tcMar>
          </w:tcPr>
          <w:p>
            <w:r>
              <w:rPr>
                <w:b w:val="false"/>
                <w:bCs w:val="false"/>
                <w:sz w:val="18"/>
                <w:szCs w:val="18"/>
              </w:rPr>
              <w:t xml:space="preserve">0.9961</w:t>
            </w:r>
          </w:p>
        </w:tc>
        <w:tc>
          <w:tcPr>
            <w:tcW w:type="dxa" w:w="1202"/>
            <w:tcMar>
              <w:top w:type="dxa" w:w="60"/>
              <w:left w:type="dxa" w:w="90"/>
              <w:bottom w:type="dxa" w:w="60"/>
              <w:right w:type="dxa" w:w="90"/>
            </w:tcMar>
          </w:tcPr>
          <w:p>
            <w:r>
              <w:rPr>
                <w:b w:val="false"/>
                <w:bCs w:val="false"/>
                <w:sz w:val="18"/>
                <w:szCs w:val="18"/>
              </w:rPr>
              <w:t xml:space="preserve">0.9757</w:t>
            </w:r>
          </w:p>
        </w:tc>
        <w:tc>
          <w:tcPr>
            <w:tcW w:type="dxa" w:w="515"/>
            <w:tcMar>
              <w:top w:type="dxa" w:w="60"/>
              <w:left w:type="dxa" w:w="90"/>
              <w:bottom w:type="dxa" w:w="60"/>
              <w:right w:type="dxa" w:w="90"/>
            </w:tcMar>
          </w:tcPr>
          <w:p>
            <w:r>
              <w:rPr>
                <w:b w:val="false"/>
                <w:bCs w:val="false"/>
                <w:sz w:val="18"/>
                <w:szCs w:val="18"/>
              </w:rPr>
              <w:t xml:space="preserve">16</w:t>
            </w:r>
          </w:p>
        </w:tc>
        <w:tc>
          <w:tcPr>
            <w:tcW w:type="dxa" w:w="515"/>
            <w:tcMar>
              <w:top w:type="dxa" w:w="60"/>
              <w:left w:type="dxa" w:w="90"/>
              <w:bottom w:type="dxa" w:w="60"/>
              <w:right w:type="dxa" w:w="90"/>
            </w:tcMar>
          </w:tcPr>
          <w:p>
            <w:r>
              <w:rPr>
                <w:b w:val="false"/>
                <w:bCs w:val="false"/>
                <w:sz w:val="18"/>
                <w:szCs w:val="18"/>
              </w:rPr>
              <w:t xml:space="preserve">0</w:t>
            </w:r>
          </w:p>
        </w:tc>
        <w:tc>
          <w:tcPr>
            <w:tcW w:type="dxa" w:w="515"/>
            <w:tcMar>
              <w:top w:type="dxa" w:w="60"/>
              <w:left w:type="dxa" w:w="90"/>
              <w:bottom w:type="dxa" w:w="60"/>
              <w:right w:type="dxa" w:w="90"/>
            </w:tcMar>
          </w:tcPr>
          <w:p>
            <w:r>
              <w:rPr>
                <w:b w:val="false"/>
                <w:bCs w:val="false"/>
                <w:sz w:val="18"/>
                <w:szCs w:val="18"/>
              </w:rPr>
              <w:t xml:space="preserve">1</w:t>
            </w:r>
          </w:p>
        </w:tc>
      </w:tr>
      <w:tr>
        <w:tc>
          <w:tcPr>
            <w:tcW w:type="dxa" w:w="2576"/>
            <w:tcMar>
              <w:top w:type="dxa" w:w="60"/>
              <w:left w:type="dxa" w:w="90"/>
              <w:bottom w:type="dxa" w:w="60"/>
              <w:right w:type="dxa" w:w="90"/>
            </w:tcMar>
          </w:tcPr>
          <w:p>
            <w:r>
              <w:rPr>
                <w:b w:val="false"/>
                <w:bCs w:val="false"/>
                <w:sz w:val="18"/>
                <w:szCs w:val="18"/>
              </w:rPr>
              <w:t xml:space="preserve">Legacy A  (previous baseline)</w:t>
            </w:r>
          </w:p>
        </w:tc>
        <w:tc>
          <w:tcPr>
            <w:tcW w:type="dxa" w:w="1030"/>
            <w:tcMar>
              <w:top w:type="dxa" w:w="60"/>
              <w:left w:type="dxa" w:w="90"/>
              <w:bottom w:type="dxa" w:w="60"/>
              <w:right w:type="dxa" w:w="90"/>
            </w:tcMar>
          </w:tcPr>
          <w:p>
            <w:r>
              <w:rPr>
                <w:b w:val="false"/>
                <w:bCs w:val="false"/>
                <w:sz w:val="18"/>
                <w:szCs w:val="18"/>
              </w:rPr>
              <w:t xml:space="preserve">0.9949</w:t>
            </w:r>
          </w:p>
        </w:tc>
        <w:tc>
          <w:tcPr>
            <w:tcW w:type="dxa" w:w="859"/>
            <w:tcMar>
              <w:top w:type="dxa" w:w="60"/>
              <w:left w:type="dxa" w:w="90"/>
              <w:bottom w:type="dxa" w:w="60"/>
              <w:right w:type="dxa" w:w="90"/>
            </w:tcMar>
          </w:tcPr>
          <w:p>
            <w:r>
              <w:rPr>
                <w:b w:val="false"/>
                <w:bCs w:val="false"/>
                <w:sz w:val="18"/>
                <w:szCs w:val="18"/>
              </w:rPr>
              <w:t xml:space="preserve">0.941</w:t>
            </w:r>
          </w:p>
        </w:tc>
        <w:tc>
          <w:tcPr>
            <w:tcW w:type="dxa" w:w="945"/>
            <w:tcMar>
              <w:top w:type="dxa" w:w="60"/>
              <w:left w:type="dxa" w:w="90"/>
              <w:bottom w:type="dxa" w:w="60"/>
              <w:right w:type="dxa" w:w="90"/>
            </w:tcMar>
          </w:tcPr>
          <w:p>
            <w:r>
              <w:rPr>
                <w:b w:val="false"/>
                <w:bCs w:val="false"/>
                <w:sz w:val="18"/>
                <w:szCs w:val="18"/>
              </w:rPr>
              <w:t xml:space="preserve">1.000</w:t>
            </w:r>
          </w:p>
        </w:tc>
        <w:tc>
          <w:tcPr>
            <w:tcW w:type="dxa" w:w="1202"/>
            <w:tcMar>
              <w:top w:type="dxa" w:w="60"/>
              <w:left w:type="dxa" w:w="90"/>
              <w:bottom w:type="dxa" w:w="60"/>
              <w:right w:type="dxa" w:w="90"/>
            </w:tcMar>
          </w:tcPr>
          <w:p>
            <w:r>
              <w:rPr>
                <w:b w:val="false"/>
                <w:bCs w:val="false"/>
                <w:sz w:val="18"/>
                <w:szCs w:val="18"/>
              </w:rPr>
              <w:t xml:space="preserve">0.9964</w:t>
            </w:r>
          </w:p>
        </w:tc>
        <w:tc>
          <w:tcPr>
            <w:tcW w:type="dxa" w:w="1202"/>
            <w:tcMar>
              <w:top w:type="dxa" w:w="60"/>
              <w:left w:type="dxa" w:w="90"/>
              <w:bottom w:type="dxa" w:w="60"/>
              <w:right w:type="dxa" w:w="90"/>
            </w:tcMar>
          </w:tcPr>
          <w:p>
            <w:r>
              <w:rPr>
                <w:b w:val="false"/>
                <w:bCs w:val="false"/>
                <w:sz w:val="18"/>
                <w:szCs w:val="18"/>
              </w:rPr>
              <w:t xml:space="preserve">0.9769</w:t>
            </w:r>
          </w:p>
        </w:tc>
        <w:tc>
          <w:tcPr>
            <w:tcW w:type="dxa" w:w="515"/>
            <w:tcMar>
              <w:top w:type="dxa" w:w="60"/>
              <w:left w:type="dxa" w:w="90"/>
              <w:bottom w:type="dxa" w:w="60"/>
              <w:right w:type="dxa" w:w="90"/>
            </w:tcMar>
          </w:tcPr>
          <w:p>
            <w:r>
              <w:rPr>
                <w:b w:val="false"/>
                <w:bCs w:val="false"/>
                <w:sz w:val="18"/>
                <w:szCs w:val="18"/>
              </w:rPr>
              <w:t xml:space="preserve">16</w:t>
            </w:r>
          </w:p>
        </w:tc>
        <w:tc>
          <w:tcPr>
            <w:tcW w:type="dxa" w:w="515"/>
            <w:tcMar>
              <w:top w:type="dxa" w:w="60"/>
              <w:left w:type="dxa" w:w="90"/>
              <w:bottom w:type="dxa" w:w="60"/>
              <w:right w:type="dxa" w:w="90"/>
            </w:tcMar>
          </w:tcPr>
          <w:p>
            <w:r>
              <w:rPr>
                <w:b w:val="false"/>
                <w:bCs w:val="false"/>
                <w:sz w:val="18"/>
                <w:szCs w:val="18"/>
              </w:rPr>
              <w:t xml:space="preserve">0</w:t>
            </w:r>
          </w:p>
        </w:tc>
        <w:tc>
          <w:tcPr>
            <w:tcW w:type="dxa" w:w="515"/>
            <w:tcMar>
              <w:top w:type="dxa" w:w="60"/>
              <w:left w:type="dxa" w:w="90"/>
              <w:bottom w:type="dxa" w:w="60"/>
              <w:right w:type="dxa" w:w="90"/>
            </w:tcMar>
          </w:tcPr>
          <w:p>
            <w:r>
              <w:rPr>
                <w:b w:val="false"/>
                <w:bCs w:val="false"/>
                <w:sz w:val="18"/>
                <w:szCs w:val="18"/>
              </w:rPr>
              <w:t xml:space="preserve">1</w:t>
            </w:r>
          </w:p>
        </w:tc>
      </w:tr>
      <w:tr>
        <w:tc>
          <w:tcPr>
            <w:tcW w:type="dxa" w:w="2576"/>
            <w:tcMar>
              <w:top w:type="dxa" w:w="60"/>
              <w:left w:type="dxa" w:w="90"/>
              <w:bottom w:type="dxa" w:w="60"/>
              <w:right w:type="dxa" w:w="90"/>
            </w:tcMar>
          </w:tcPr>
          <w:p>
            <w:r>
              <w:rPr>
                <w:b w:val="false"/>
                <w:bCs w:val="false"/>
                <w:sz w:val="18"/>
                <w:szCs w:val="18"/>
              </w:rPr>
              <w:t xml:space="preserve">All remaining arms</w:t>
            </w:r>
          </w:p>
        </w:tc>
        <w:tc>
          <w:tcPr>
            <w:tcW w:type="dxa" w:w="1030"/>
            <w:tcMar>
              <w:top w:type="dxa" w:w="60"/>
              <w:left w:type="dxa" w:w="90"/>
              <w:bottom w:type="dxa" w:w="60"/>
              <w:right w:type="dxa" w:w="90"/>
            </w:tcMar>
          </w:tcPr>
          <w:p>
            <w:r>
              <w:rPr>
                <w:b w:val="false"/>
                <w:bCs w:val="false"/>
                <w:sz w:val="18"/>
                <w:szCs w:val="18"/>
              </w:rPr>
              <w:t xml:space="preserve">0.9949</w:t>
            </w:r>
          </w:p>
        </w:tc>
        <w:tc>
          <w:tcPr>
            <w:tcW w:type="dxa" w:w="859"/>
            <w:tcMar>
              <w:top w:type="dxa" w:w="60"/>
              <w:left w:type="dxa" w:w="90"/>
              <w:bottom w:type="dxa" w:w="60"/>
              <w:right w:type="dxa" w:w="90"/>
            </w:tcMar>
          </w:tcPr>
          <w:p>
            <w:r>
              <w:rPr>
                <w:b w:val="false"/>
                <w:bCs w:val="false"/>
                <w:sz w:val="18"/>
                <w:szCs w:val="18"/>
              </w:rPr>
              <w:t xml:space="preserve">0.941</w:t>
            </w:r>
          </w:p>
        </w:tc>
        <w:tc>
          <w:tcPr>
            <w:tcW w:type="dxa" w:w="945"/>
            <w:tcMar>
              <w:top w:type="dxa" w:w="60"/>
              <w:left w:type="dxa" w:w="90"/>
              <w:bottom w:type="dxa" w:w="60"/>
              <w:right w:type="dxa" w:w="90"/>
            </w:tcMar>
          </w:tcPr>
          <w:p>
            <w:r>
              <w:rPr>
                <w:b w:val="false"/>
                <w:bCs w:val="false"/>
                <w:sz w:val="18"/>
                <w:szCs w:val="18"/>
              </w:rPr>
              <w:t xml:space="preserve">1.000</w:t>
            </w:r>
          </w:p>
        </w:tc>
        <w:tc>
          <w:tcPr>
            <w:tcW w:type="dxa" w:w="1202"/>
            <w:tcMar>
              <w:top w:type="dxa" w:w="60"/>
              <w:left w:type="dxa" w:w="90"/>
              <w:bottom w:type="dxa" w:w="60"/>
              <w:right w:type="dxa" w:w="90"/>
            </w:tcMar>
          </w:tcPr>
          <w:p>
            <w:r>
              <w:rPr>
                <w:b w:val="false"/>
                <w:bCs w:val="false"/>
                <w:sz w:val="18"/>
                <w:szCs w:val="18"/>
              </w:rPr>
              <w:t xml:space="preserve">0.9954–0.9964</w:t>
            </w:r>
          </w:p>
        </w:tc>
        <w:tc>
          <w:tcPr>
            <w:tcW w:type="dxa" w:w="1202"/>
            <w:tcMar>
              <w:top w:type="dxa" w:w="60"/>
              <w:left w:type="dxa" w:w="90"/>
              <w:bottom w:type="dxa" w:w="60"/>
              <w:right w:type="dxa" w:w="90"/>
            </w:tcMar>
          </w:tcPr>
          <w:p>
            <w:r>
              <w:rPr>
                <w:b w:val="false"/>
                <w:bCs w:val="false"/>
                <w:sz w:val="18"/>
                <w:szCs w:val="18"/>
              </w:rPr>
              <w:t xml:space="preserve">0.9734–0.9769</w:t>
            </w:r>
          </w:p>
        </w:tc>
        <w:tc>
          <w:tcPr>
            <w:tcW w:type="dxa" w:w="515"/>
            <w:tcMar>
              <w:top w:type="dxa" w:w="60"/>
              <w:left w:type="dxa" w:w="90"/>
              <w:bottom w:type="dxa" w:w="60"/>
              <w:right w:type="dxa" w:w="90"/>
            </w:tcMar>
          </w:tcPr>
          <w:p>
            <w:r>
              <w:rPr>
                <w:b w:val="false"/>
                <w:bCs w:val="false"/>
                <w:sz w:val="18"/>
                <w:szCs w:val="18"/>
              </w:rPr>
              <w:t xml:space="preserve">16</w:t>
            </w:r>
          </w:p>
        </w:tc>
        <w:tc>
          <w:tcPr>
            <w:tcW w:type="dxa" w:w="515"/>
            <w:tcMar>
              <w:top w:type="dxa" w:w="60"/>
              <w:left w:type="dxa" w:w="90"/>
              <w:bottom w:type="dxa" w:w="60"/>
              <w:right w:type="dxa" w:w="90"/>
            </w:tcMar>
          </w:tcPr>
          <w:p>
            <w:r>
              <w:rPr>
                <w:b w:val="false"/>
                <w:bCs w:val="false"/>
                <w:sz w:val="18"/>
                <w:szCs w:val="18"/>
              </w:rPr>
              <w:t xml:space="preserve">0</w:t>
            </w:r>
          </w:p>
        </w:tc>
        <w:tc>
          <w:tcPr>
            <w:tcW w:type="dxa" w:w="515"/>
            <w:tcMar>
              <w:top w:type="dxa" w:w="60"/>
              <w:left w:type="dxa" w:w="90"/>
              <w:bottom w:type="dxa" w:w="60"/>
              <w:right w:type="dxa" w:w="90"/>
            </w:tcMar>
          </w:tcPr>
          <w:p>
            <w:r>
              <w:rPr>
                <w:b w:val="false"/>
                <w:bCs w:val="false"/>
                <w:sz w:val="18"/>
                <w:szCs w:val="18"/>
              </w:rPr>
              <w:t xml:space="preserve">1</w:t>
            </w:r>
          </w:p>
        </w:tc>
      </w:tr>
    </w:tbl>
    <w:p>
      <w:pPr>
        <w:spacing w:after="140"/>
      </w:pPr>
      <w:r>
        <w:rPr>
          <w:sz w:val="22"/>
          <w:szCs w:val="22"/>
        </w:rPr>
        <w:t xml:space="preserve">The result that matters here is the invariance. All nine arms produce an identical confusion matrix: 16 of 17 dropout cases identified, one missed, no false positives. The ranking metric differs across arms by up to 0.0062, and the decision does not differ at all.</w:t>
      </w:r>
    </w:p>
    <w:p>
      <w:pPr>
        <w:spacing w:after="140"/>
      </w:pPr>
      <w:r>
        <w:rPr>
          <w:sz w:val="22"/>
          <w:szCs w:val="22"/>
        </w:rPr>
        <w:t xml:space="preserve">This is the clearest available statement of the ceiling constraint. At this level of separability a single held-out partition of 197 pupils containing 17 dropout cases cannot distinguish between the arms at the decision level, whatever their difference in ranking quality. It follows that the present testbed could not have detected an operationally meaningful improvement from the intervention had one existed, and this bounds what any comparison conducted within it can establish.</w:t>
      </w:r>
    </w:p>
    <w:p>
      <w:pPr>
        <w:spacing w:after="140"/>
      </w:pPr>
      <w:r>
        <w:rPr>
          <w:sz w:val="22"/>
          <w:szCs w:val="22"/>
        </w:rPr>
        <w:t xml:space="preserve">The single false negative is examined in the committed output rather than reported only as a count.</w:t>
      </w:r>
    </w:p>
    <w:p>
      <w:pPr>
        <w:pStyle w:val="Heading1"/>
        <w:spacing w:after="160" w:before="280"/>
      </w:pPr>
      <w:r>
        <w:t xml:space="preserve">R9  Operational interpretation</w:t>
      </w:r>
    </w:p>
    <w:p>
      <w:pPr>
        <w:spacing w:after="140"/>
      </w:pPr>
      <w:r>
        <w:rPr>
          <w:sz w:val="22"/>
          <w:szCs w:val="22"/>
        </w:rPr>
        <w:t xml:space="preserve">AUC-PR is a ranking quality averaged over thresholds, whereas a headteacher acts at one threshold under a fixed review capacity. The metric is therefore translated into the quantities that determine practice.</w:t>
      </w:r>
    </w:p>
    <w:p>
      <w:pPr>
        <w:spacing w:after="80" w:before="160"/>
      </w:pPr>
      <w:r>
        <w:rPr>
          <w:b/>
          <w:bCs/>
          <w:sz w:val="20"/>
          <w:szCs w:val="20"/>
        </w:rPr>
        <w:t xml:space="preserve">Table R8. Threshold translated into caseload (mean over cross-validation folds; base rate 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059"/>
        <w:gridCol w:w="2246"/>
        <w:gridCol w:w="1310"/>
        <w:gridCol w:w="2246"/>
      </w:tblGrid>
      <w:tr>
        <w:trPr>
          <w:tblHeader/>
        </w:trPr>
        <w:tc>
          <w:tcPr>
            <w:tcW w:type="dxa" w:w="1498"/>
            <w:shd w:fill="E8EDF2" w:val="clear"/>
            <w:tcMar>
              <w:top w:type="dxa" w:w="60"/>
              <w:left w:type="dxa" w:w="90"/>
              <w:bottom w:type="dxa" w:w="60"/>
              <w:right w:type="dxa" w:w="90"/>
            </w:tcMar>
          </w:tcPr>
          <w:p>
            <w:r>
              <w:rPr>
                <w:b/>
                <w:bCs/>
                <w:sz w:val="18"/>
                <w:szCs w:val="18"/>
              </w:rPr>
              <w:t xml:space="preserve">Threshold</w:t>
            </w:r>
          </w:p>
        </w:tc>
        <w:tc>
          <w:tcPr>
            <w:tcW w:type="dxa" w:w="2059"/>
            <w:shd w:fill="E8EDF2" w:val="clear"/>
            <w:tcMar>
              <w:top w:type="dxa" w:w="60"/>
              <w:left w:type="dxa" w:w="90"/>
              <w:bottom w:type="dxa" w:w="60"/>
              <w:right w:type="dxa" w:w="90"/>
            </w:tcMar>
          </w:tcPr>
          <w:p>
            <w:r>
              <w:rPr>
                <w:b/>
                <w:bCs/>
                <w:sz w:val="18"/>
                <w:szCs w:val="18"/>
              </w:rPr>
              <w:t xml:space="preserve">Pupils flagged per 100</w:t>
            </w:r>
          </w:p>
        </w:tc>
        <w:tc>
          <w:tcPr>
            <w:tcW w:type="dxa" w:w="2246"/>
            <w:shd w:fill="E8EDF2" w:val="clear"/>
            <w:tcMar>
              <w:top w:type="dxa" w:w="60"/>
              <w:left w:type="dxa" w:w="90"/>
              <w:bottom w:type="dxa" w:w="60"/>
              <w:right w:type="dxa" w:w="90"/>
            </w:tcMar>
          </w:tcPr>
          <w:p>
            <w:r>
              <w:rPr>
                <w:b/>
                <w:bCs/>
                <w:sz w:val="18"/>
                <w:szCs w:val="18"/>
              </w:rPr>
              <w:t xml:space="preserve">Proportion of flags genuine</w:t>
            </w:r>
          </w:p>
        </w:tc>
        <w:tc>
          <w:tcPr>
            <w:tcW w:type="dxa" w:w="1310"/>
            <w:shd w:fill="E8EDF2" w:val="clear"/>
            <w:tcMar>
              <w:top w:type="dxa" w:w="60"/>
              <w:left w:type="dxa" w:w="90"/>
              <w:bottom w:type="dxa" w:w="60"/>
              <w:right w:type="dxa" w:w="90"/>
            </w:tcMar>
          </w:tcPr>
          <w:p>
            <w:r>
              <w:rPr>
                <w:b/>
                <w:bCs/>
                <w:sz w:val="18"/>
                <w:szCs w:val="18"/>
              </w:rPr>
              <w:t xml:space="preserve">Recall</w:t>
            </w:r>
          </w:p>
        </w:tc>
        <w:tc>
          <w:tcPr>
            <w:tcW w:type="dxa" w:w="2246"/>
            <w:shd w:fill="E8EDF2" w:val="clear"/>
            <w:tcMar>
              <w:top w:type="dxa" w:w="60"/>
              <w:left w:type="dxa" w:w="90"/>
              <w:bottom w:type="dxa" w:w="60"/>
              <w:right w:type="dxa" w:w="90"/>
            </w:tcMar>
          </w:tcPr>
          <w:p>
            <w:r>
              <w:rPr>
                <w:b/>
                <w:bCs/>
                <w:sz w:val="18"/>
                <w:szCs w:val="18"/>
              </w:rPr>
              <w:t xml:space="preserve">Departing pupils missed per 100</w:t>
            </w:r>
          </w:p>
        </w:tc>
      </w:tr>
      <w:tr>
        <w:tc>
          <w:tcPr>
            <w:tcW w:type="dxa" w:w="1498"/>
            <w:tcMar>
              <w:top w:type="dxa" w:w="60"/>
              <w:left w:type="dxa" w:w="90"/>
              <w:bottom w:type="dxa" w:w="60"/>
              <w:right w:type="dxa" w:w="90"/>
            </w:tcMar>
          </w:tcPr>
          <w:p>
            <w:r>
              <w:rPr>
                <w:b w:val="false"/>
                <w:bCs w:val="false"/>
                <w:sz w:val="18"/>
                <w:szCs w:val="18"/>
              </w:rPr>
              <w:t xml:space="preserve">0.10</w:t>
            </w:r>
          </w:p>
        </w:tc>
        <w:tc>
          <w:tcPr>
            <w:tcW w:type="dxa" w:w="2059"/>
            <w:tcMar>
              <w:top w:type="dxa" w:w="60"/>
              <w:left w:type="dxa" w:w="90"/>
              <w:bottom w:type="dxa" w:w="60"/>
              <w:right w:type="dxa" w:w="90"/>
            </w:tcMar>
          </w:tcPr>
          <w:p>
            <w:r>
              <w:rPr>
                <w:b w:val="false"/>
                <w:bCs w:val="false"/>
                <w:sz w:val="18"/>
                <w:szCs w:val="18"/>
              </w:rPr>
              <w:t xml:space="preserve">10.1</w:t>
            </w:r>
          </w:p>
        </w:tc>
        <w:tc>
          <w:tcPr>
            <w:tcW w:type="dxa" w:w="2246"/>
            <w:tcMar>
              <w:top w:type="dxa" w:w="60"/>
              <w:left w:type="dxa" w:w="90"/>
              <w:bottom w:type="dxa" w:w="60"/>
              <w:right w:type="dxa" w:w="90"/>
            </w:tcMar>
          </w:tcPr>
          <w:p>
            <w:r>
              <w:rPr>
                <w:b w:val="false"/>
                <w:bCs w:val="false"/>
                <w:sz w:val="18"/>
                <w:szCs w:val="18"/>
              </w:rPr>
              <w:t xml:space="preserve">0.842</w:t>
            </w:r>
          </w:p>
        </w:tc>
        <w:tc>
          <w:tcPr>
            <w:tcW w:type="dxa" w:w="1310"/>
            <w:tcMar>
              <w:top w:type="dxa" w:w="60"/>
              <w:left w:type="dxa" w:w="90"/>
              <w:bottom w:type="dxa" w:w="60"/>
              <w:right w:type="dxa" w:w="90"/>
            </w:tcMar>
          </w:tcPr>
          <w:p>
            <w:r>
              <w:rPr>
                <w:b w:val="false"/>
                <w:bCs w:val="false"/>
                <w:sz w:val="18"/>
                <w:szCs w:val="18"/>
              </w:rPr>
              <w:t xml:space="preserve">0.962</w:t>
            </w:r>
          </w:p>
        </w:tc>
        <w:tc>
          <w:tcPr>
            <w:tcW w:type="dxa" w:w="2246"/>
            <w:tcMar>
              <w:top w:type="dxa" w:w="60"/>
              <w:left w:type="dxa" w:w="90"/>
              <w:bottom w:type="dxa" w:w="60"/>
              <w:right w:type="dxa" w:w="90"/>
            </w:tcMar>
          </w:tcPr>
          <w:p>
            <w:r>
              <w:rPr>
                <w:b w:val="false"/>
                <w:bCs w:val="false"/>
                <w:sz w:val="18"/>
                <w:szCs w:val="18"/>
              </w:rPr>
              <w:t xml:space="preserve">0.33</w:t>
            </w:r>
          </w:p>
        </w:tc>
      </w:tr>
      <w:tr>
        <w:tc>
          <w:tcPr>
            <w:tcW w:type="dxa" w:w="1498"/>
            <w:tcMar>
              <w:top w:type="dxa" w:w="60"/>
              <w:left w:type="dxa" w:w="90"/>
              <w:bottom w:type="dxa" w:w="60"/>
              <w:right w:type="dxa" w:w="90"/>
            </w:tcMar>
          </w:tcPr>
          <w:p>
            <w:r>
              <w:rPr>
                <w:b w:val="false"/>
                <w:bCs w:val="false"/>
                <w:sz w:val="18"/>
                <w:szCs w:val="18"/>
              </w:rPr>
              <w:t xml:space="preserve">0.20</w:t>
            </w:r>
          </w:p>
        </w:tc>
        <w:tc>
          <w:tcPr>
            <w:tcW w:type="dxa" w:w="2059"/>
            <w:tcMar>
              <w:top w:type="dxa" w:w="60"/>
              <w:left w:type="dxa" w:w="90"/>
              <w:bottom w:type="dxa" w:w="60"/>
              <w:right w:type="dxa" w:w="90"/>
            </w:tcMar>
          </w:tcPr>
          <w:p>
            <w:r>
              <w:rPr>
                <w:b w:val="false"/>
                <w:bCs w:val="false"/>
                <w:sz w:val="18"/>
                <w:szCs w:val="18"/>
              </w:rPr>
              <w:t xml:space="preserve">9.2</w:t>
            </w:r>
          </w:p>
        </w:tc>
        <w:tc>
          <w:tcPr>
            <w:tcW w:type="dxa" w:w="2246"/>
            <w:tcMar>
              <w:top w:type="dxa" w:w="60"/>
              <w:left w:type="dxa" w:w="90"/>
              <w:bottom w:type="dxa" w:w="60"/>
              <w:right w:type="dxa" w:w="90"/>
            </w:tcMar>
          </w:tcPr>
          <w:p>
            <w:r>
              <w:rPr>
                <w:b w:val="false"/>
                <w:bCs w:val="false"/>
                <w:sz w:val="18"/>
                <w:szCs w:val="18"/>
              </w:rPr>
              <w:t xml:space="preserve">0.910</w:t>
            </w:r>
          </w:p>
        </w:tc>
        <w:tc>
          <w:tcPr>
            <w:tcW w:type="dxa" w:w="1310"/>
            <w:tcMar>
              <w:top w:type="dxa" w:w="60"/>
              <w:left w:type="dxa" w:w="90"/>
              <w:bottom w:type="dxa" w:w="60"/>
              <w:right w:type="dxa" w:w="90"/>
            </w:tcMar>
          </w:tcPr>
          <w:p>
            <w:r>
              <w:rPr>
                <w:b w:val="false"/>
                <w:bCs w:val="false"/>
                <w:sz w:val="18"/>
                <w:szCs w:val="18"/>
              </w:rPr>
              <w:t xml:space="preserve">0.948</w:t>
            </w:r>
          </w:p>
        </w:tc>
        <w:tc>
          <w:tcPr>
            <w:tcW w:type="dxa" w:w="2246"/>
            <w:tcMar>
              <w:top w:type="dxa" w:w="60"/>
              <w:left w:type="dxa" w:w="90"/>
              <w:bottom w:type="dxa" w:w="60"/>
              <w:right w:type="dxa" w:w="90"/>
            </w:tcMar>
          </w:tcPr>
          <w:p>
            <w:r>
              <w:rPr>
                <w:b w:val="false"/>
                <w:bCs w:val="false"/>
                <w:sz w:val="18"/>
                <w:szCs w:val="18"/>
              </w:rPr>
              <w:t xml:space="preserve">0.46</w:t>
            </w:r>
          </w:p>
        </w:tc>
      </w:tr>
      <w:tr>
        <w:tc>
          <w:tcPr>
            <w:tcW w:type="dxa" w:w="1498"/>
            <w:tcMar>
              <w:top w:type="dxa" w:w="60"/>
              <w:left w:type="dxa" w:w="90"/>
              <w:bottom w:type="dxa" w:w="60"/>
              <w:right w:type="dxa" w:w="90"/>
            </w:tcMar>
          </w:tcPr>
          <w:p>
            <w:r>
              <w:rPr>
                <w:b w:val="false"/>
                <w:bCs w:val="false"/>
                <w:sz w:val="18"/>
                <w:szCs w:val="18"/>
              </w:rPr>
              <w:t xml:space="preserve">0.30</w:t>
            </w:r>
          </w:p>
        </w:tc>
        <w:tc>
          <w:tcPr>
            <w:tcW w:type="dxa" w:w="2059"/>
            <w:tcMar>
              <w:top w:type="dxa" w:w="60"/>
              <w:left w:type="dxa" w:w="90"/>
              <w:bottom w:type="dxa" w:w="60"/>
              <w:right w:type="dxa" w:w="90"/>
            </w:tcMar>
          </w:tcPr>
          <w:p>
            <w:r>
              <w:rPr>
                <w:b w:val="false"/>
                <w:bCs w:val="false"/>
                <w:sz w:val="18"/>
                <w:szCs w:val="18"/>
              </w:rPr>
              <w:t xml:space="preserve">8.8</w:t>
            </w:r>
          </w:p>
        </w:tc>
        <w:tc>
          <w:tcPr>
            <w:tcW w:type="dxa" w:w="2246"/>
            <w:tcMar>
              <w:top w:type="dxa" w:w="60"/>
              <w:left w:type="dxa" w:w="90"/>
              <w:bottom w:type="dxa" w:w="60"/>
              <w:right w:type="dxa" w:w="90"/>
            </w:tcMar>
          </w:tcPr>
          <w:p>
            <w:r>
              <w:rPr>
                <w:b w:val="false"/>
                <w:bCs w:val="false"/>
                <w:sz w:val="18"/>
                <w:szCs w:val="18"/>
              </w:rPr>
              <w:t xml:space="preserve">0.941</w:t>
            </w:r>
          </w:p>
        </w:tc>
        <w:tc>
          <w:tcPr>
            <w:tcW w:type="dxa" w:w="1310"/>
            <w:tcMar>
              <w:top w:type="dxa" w:w="60"/>
              <w:left w:type="dxa" w:w="90"/>
              <w:bottom w:type="dxa" w:w="60"/>
              <w:right w:type="dxa" w:w="90"/>
            </w:tcMar>
          </w:tcPr>
          <w:p>
            <w:r>
              <w:rPr>
                <w:b w:val="false"/>
                <w:bCs w:val="false"/>
                <w:sz w:val="18"/>
                <w:szCs w:val="18"/>
              </w:rPr>
              <w:t xml:space="preserve">0.934</w:t>
            </w:r>
          </w:p>
        </w:tc>
        <w:tc>
          <w:tcPr>
            <w:tcW w:type="dxa" w:w="2246"/>
            <w:tcMar>
              <w:top w:type="dxa" w:w="60"/>
              <w:left w:type="dxa" w:w="90"/>
              <w:bottom w:type="dxa" w:w="60"/>
              <w:right w:type="dxa" w:w="90"/>
            </w:tcMar>
          </w:tcPr>
          <w:p>
            <w:r>
              <w:rPr>
                <w:b w:val="false"/>
                <w:bCs w:val="false"/>
                <w:sz w:val="18"/>
                <w:szCs w:val="18"/>
              </w:rPr>
              <w:t xml:space="preserve">0.58</w:t>
            </w:r>
          </w:p>
        </w:tc>
      </w:tr>
      <w:tr>
        <w:tc>
          <w:tcPr>
            <w:tcW w:type="dxa" w:w="1498"/>
            <w:tcMar>
              <w:top w:type="dxa" w:w="60"/>
              <w:left w:type="dxa" w:w="90"/>
              <w:bottom w:type="dxa" w:w="60"/>
              <w:right w:type="dxa" w:w="90"/>
            </w:tcMar>
          </w:tcPr>
          <w:p>
            <w:r>
              <w:rPr>
                <w:b w:val="false"/>
                <w:bCs w:val="false"/>
                <w:sz w:val="18"/>
                <w:szCs w:val="18"/>
              </w:rPr>
              <w:t xml:space="preserve">0.50  (reported)</w:t>
            </w:r>
          </w:p>
        </w:tc>
        <w:tc>
          <w:tcPr>
            <w:tcW w:type="dxa" w:w="2059"/>
            <w:tcMar>
              <w:top w:type="dxa" w:w="60"/>
              <w:left w:type="dxa" w:w="90"/>
              <w:bottom w:type="dxa" w:w="60"/>
              <w:right w:type="dxa" w:w="90"/>
            </w:tcMar>
          </w:tcPr>
          <w:p>
            <w:r>
              <w:rPr>
                <w:b w:val="false"/>
                <w:bCs w:val="false"/>
                <w:sz w:val="18"/>
                <w:szCs w:val="18"/>
              </w:rPr>
              <w:t xml:space="preserve">8.3</w:t>
            </w:r>
          </w:p>
        </w:tc>
        <w:tc>
          <w:tcPr>
            <w:tcW w:type="dxa" w:w="2246"/>
            <w:tcMar>
              <w:top w:type="dxa" w:w="60"/>
              <w:left w:type="dxa" w:w="90"/>
              <w:bottom w:type="dxa" w:w="60"/>
              <w:right w:type="dxa" w:w="90"/>
            </w:tcMar>
          </w:tcPr>
          <w:p>
            <w:r>
              <w:rPr>
                <w:b w:val="false"/>
                <w:bCs w:val="false"/>
                <w:sz w:val="18"/>
                <w:szCs w:val="18"/>
              </w:rPr>
              <w:t xml:space="preserve">0.968</w:t>
            </w:r>
          </w:p>
        </w:tc>
        <w:tc>
          <w:tcPr>
            <w:tcW w:type="dxa" w:w="1310"/>
            <w:tcMar>
              <w:top w:type="dxa" w:w="60"/>
              <w:left w:type="dxa" w:w="90"/>
              <w:bottom w:type="dxa" w:w="60"/>
              <w:right w:type="dxa" w:w="90"/>
            </w:tcMar>
          </w:tcPr>
          <w:p>
            <w:r>
              <w:rPr>
                <w:b w:val="false"/>
                <w:bCs w:val="false"/>
                <w:sz w:val="18"/>
                <w:szCs w:val="18"/>
              </w:rPr>
              <w:t xml:space="preserve">0.909</w:t>
            </w:r>
          </w:p>
        </w:tc>
        <w:tc>
          <w:tcPr>
            <w:tcW w:type="dxa" w:w="2246"/>
            <w:tcMar>
              <w:top w:type="dxa" w:w="60"/>
              <w:left w:type="dxa" w:w="90"/>
              <w:bottom w:type="dxa" w:w="60"/>
              <w:right w:type="dxa" w:w="90"/>
            </w:tcMar>
          </w:tcPr>
          <w:p>
            <w:r>
              <w:rPr>
                <w:b w:val="false"/>
                <w:bCs w:val="false"/>
                <w:sz w:val="18"/>
                <w:szCs w:val="18"/>
              </w:rPr>
              <w:t xml:space="preserve">0.80</w:t>
            </w:r>
          </w:p>
        </w:tc>
      </w:tr>
      <w:tr>
        <w:tc>
          <w:tcPr>
            <w:tcW w:type="dxa" w:w="1498"/>
            <w:tcMar>
              <w:top w:type="dxa" w:w="60"/>
              <w:left w:type="dxa" w:w="90"/>
              <w:bottom w:type="dxa" w:w="60"/>
              <w:right w:type="dxa" w:w="90"/>
            </w:tcMar>
          </w:tcPr>
          <w:p>
            <w:r>
              <w:rPr>
                <w:b w:val="false"/>
                <w:bCs w:val="false"/>
                <w:sz w:val="18"/>
                <w:szCs w:val="18"/>
              </w:rPr>
              <w:t xml:space="preserve">0.70</w:t>
            </w:r>
          </w:p>
        </w:tc>
        <w:tc>
          <w:tcPr>
            <w:tcW w:type="dxa" w:w="2059"/>
            <w:tcMar>
              <w:top w:type="dxa" w:w="60"/>
              <w:left w:type="dxa" w:w="90"/>
              <w:bottom w:type="dxa" w:w="60"/>
              <w:right w:type="dxa" w:w="90"/>
            </w:tcMar>
          </w:tcPr>
          <w:p>
            <w:r>
              <w:rPr>
                <w:b w:val="false"/>
                <w:bCs w:val="false"/>
                <w:sz w:val="18"/>
                <w:szCs w:val="18"/>
              </w:rPr>
              <w:t xml:space="preserve">7.9</w:t>
            </w:r>
          </w:p>
        </w:tc>
        <w:tc>
          <w:tcPr>
            <w:tcW w:type="dxa" w:w="2246"/>
            <w:tcMar>
              <w:top w:type="dxa" w:w="60"/>
              <w:left w:type="dxa" w:w="90"/>
              <w:bottom w:type="dxa" w:w="60"/>
              <w:right w:type="dxa" w:w="90"/>
            </w:tcMar>
          </w:tcPr>
          <w:p>
            <w:r>
              <w:rPr>
                <w:b w:val="false"/>
                <w:bCs w:val="false"/>
                <w:sz w:val="18"/>
                <w:szCs w:val="18"/>
              </w:rPr>
              <w:t xml:space="preserve">0.983</w:t>
            </w:r>
          </w:p>
        </w:tc>
        <w:tc>
          <w:tcPr>
            <w:tcW w:type="dxa" w:w="1310"/>
            <w:tcMar>
              <w:top w:type="dxa" w:w="60"/>
              <w:left w:type="dxa" w:w="90"/>
              <w:bottom w:type="dxa" w:w="60"/>
              <w:right w:type="dxa" w:w="90"/>
            </w:tcMar>
          </w:tcPr>
          <w:p>
            <w:r>
              <w:rPr>
                <w:b w:val="false"/>
                <w:bCs w:val="false"/>
                <w:sz w:val="18"/>
                <w:szCs w:val="18"/>
              </w:rPr>
              <w:t xml:space="preserve">0.886</w:t>
            </w:r>
          </w:p>
        </w:tc>
        <w:tc>
          <w:tcPr>
            <w:tcW w:type="dxa" w:w="2246"/>
            <w:tcMar>
              <w:top w:type="dxa" w:w="60"/>
              <w:left w:type="dxa" w:w="90"/>
              <w:bottom w:type="dxa" w:w="60"/>
              <w:right w:type="dxa" w:w="90"/>
            </w:tcMar>
          </w:tcPr>
          <w:p>
            <w:r>
              <w:rPr>
                <w:b w:val="false"/>
                <w:bCs w:val="false"/>
                <w:sz w:val="18"/>
                <w:szCs w:val="18"/>
              </w:rPr>
              <w:t xml:space="preserve">1.00</w:t>
            </w:r>
          </w:p>
        </w:tc>
      </w:tr>
    </w:tbl>
    <w:p>
      <w:pPr>
        <w:spacing w:after="80" w:before="160"/>
      </w:pPr>
      <w:r>
        <w:rPr>
          <w:b/>
          <w:bCs/>
          <w:sz w:val="20"/>
          <w:szCs w:val="20"/>
        </w:rPr>
        <w:t xml:space="preserve">Table R9. Performance under a fixed review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E8EDF2" w:val="clear"/>
            <w:tcMar>
              <w:top w:type="dxa" w:w="60"/>
              <w:left w:type="dxa" w:w="90"/>
              <w:bottom w:type="dxa" w:w="60"/>
              <w:right w:type="dxa" w:w="90"/>
            </w:tcMar>
          </w:tcPr>
          <w:p>
            <w:r>
              <w:rPr>
                <w:b/>
                <w:bCs/>
                <w:sz w:val="18"/>
                <w:szCs w:val="18"/>
              </w:rPr>
              <w:t xml:space="preserve">Pupils reviewed per 100</w:t>
            </w:r>
          </w:p>
        </w:tc>
        <w:tc>
          <w:tcPr>
            <w:tcW w:type="dxa" w:w="5616"/>
            <w:shd w:fill="E8EDF2" w:val="clear"/>
            <w:tcMar>
              <w:top w:type="dxa" w:w="60"/>
              <w:left w:type="dxa" w:w="90"/>
              <w:bottom w:type="dxa" w:w="60"/>
              <w:right w:type="dxa" w:w="90"/>
            </w:tcMar>
          </w:tcPr>
          <w:p>
            <w:r>
              <w:rPr>
                <w:b/>
                <w:bCs/>
                <w:sz w:val="18"/>
                <w:szCs w:val="18"/>
              </w:rPr>
              <w:t xml:space="preserve">Proportion of departing pupils captured</w:t>
            </w:r>
          </w:p>
        </w:tc>
      </w:tr>
      <w:tr>
        <w:tc>
          <w:tcPr>
            <w:tcW w:type="dxa" w:w="3744"/>
            <w:tcMar>
              <w:top w:type="dxa" w:w="60"/>
              <w:left w:type="dxa" w:w="90"/>
              <w:bottom w:type="dxa" w:w="60"/>
              <w:right w:type="dxa" w:w="90"/>
            </w:tcMar>
          </w:tcPr>
          <w:p>
            <w:r>
              <w:rPr>
                <w:b w:val="false"/>
                <w:bCs w:val="false"/>
                <w:sz w:val="18"/>
                <w:szCs w:val="18"/>
              </w:rPr>
              <w:t xml:space="preserve">5</w:t>
            </w:r>
          </w:p>
        </w:tc>
        <w:tc>
          <w:tcPr>
            <w:tcW w:type="dxa" w:w="5616"/>
            <w:tcMar>
              <w:top w:type="dxa" w:w="60"/>
              <w:left w:type="dxa" w:w="90"/>
              <w:bottom w:type="dxa" w:w="60"/>
              <w:right w:type="dxa" w:w="90"/>
            </w:tcMar>
          </w:tcPr>
          <w:p>
            <w:r>
              <w:rPr>
                <w:b w:val="false"/>
                <w:bCs w:val="false"/>
                <w:sz w:val="18"/>
                <w:szCs w:val="18"/>
              </w:rPr>
              <w:t xml:space="preserve">0.580</w:t>
            </w:r>
          </w:p>
        </w:tc>
      </w:tr>
      <w:tr>
        <w:tc>
          <w:tcPr>
            <w:tcW w:type="dxa" w:w="3744"/>
            <w:tcMar>
              <w:top w:type="dxa" w:w="60"/>
              <w:left w:type="dxa" w:w="90"/>
              <w:bottom w:type="dxa" w:w="60"/>
              <w:right w:type="dxa" w:w="90"/>
            </w:tcMar>
          </w:tcPr>
          <w:p>
            <w:r>
              <w:rPr>
                <w:b w:val="false"/>
                <w:bCs w:val="false"/>
                <w:sz w:val="18"/>
                <w:szCs w:val="18"/>
              </w:rPr>
              <w:t xml:space="preserve">10</w:t>
            </w:r>
          </w:p>
        </w:tc>
        <w:tc>
          <w:tcPr>
            <w:tcW w:type="dxa" w:w="5616"/>
            <w:tcMar>
              <w:top w:type="dxa" w:w="60"/>
              <w:left w:type="dxa" w:w="90"/>
              <w:bottom w:type="dxa" w:w="60"/>
              <w:right w:type="dxa" w:w="90"/>
            </w:tcMar>
          </w:tcPr>
          <w:p>
            <w:r>
              <w:rPr>
                <w:b w:val="false"/>
                <w:bCs w:val="false"/>
                <w:sz w:val="18"/>
                <w:szCs w:val="18"/>
              </w:rPr>
              <w:t xml:space="preserve">0.963</w:t>
            </w:r>
          </w:p>
        </w:tc>
      </w:tr>
      <w:tr>
        <w:tc>
          <w:tcPr>
            <w:tcW w:type="dxa" w:w="3744"/>
            <w:tcMar>
              <w:top w:type="dxa" w:w="60"/>
              <w:left w:type="dxa" w:w="90"/>
              <w:bottom w:type="dxa" w:w="60"/>
              <w:right w:type="dxa" w:w="90"/>
            </w:tcMar>
          </w:tcPr>
          <w:p>
            <w:r>
              <w:rPr>
                <w:b w:val="false"/>
                <w:bCs w:val="false"/>
                <w:sz w:val="18"/>
                <w:szCs w:val="18"/>
              </w:rPr>
              <w:t xml:space="preserve">15</w:t>
            </w:r>
          </w:p>
        </w:tc>
        <w:tc>
          <w:tcPr>
            <w:tcW w:type="dxa" w:w="5616"/>
            <w:tcMar>
              <w:top w:type="dxa" w:w="60"/>
              <w:left w:type="dxa" w:w="90"/>
              <w:bottom w:type="dxa" w:w="60"/>
              <w:right w:type="dxa" w:w="90"/>
            </w:tcMar>
          </w:tcPr>
          <w:p>
            <w:r>
              <w:rPr>
                <w:b w:val="false"/>
                <w:bCs w:val="false"/>
                <w:sz w:val="18"/>
                <w:szCs w:val="18"/>
              </w:rPr>
              <w:t xml:space="preserve">0.981</w:t>
            </w:r>
          </w:p>
        </w:tc>
      </w:tr>
      <w:tr>
        <w:tc>
          <w:tcPr>
            <w:tcW w:type="dxa" w:w="3744"/>
            <w:tcMar>
              <w:top w:type="dxa" w:w="60"/>
              <w:left w:type="dxa" w:w="90"/>
              <w:bottom w:type="dxa" w:w="60"/>
              <w:right w:type="dxa" w:w="90"/>
            </w:tcMar>
          </w:tcPr>
          <w:p>
            <w:r>
              <w:rPr>
                <w:b w:val="false"/>
                <w:bCs w:val="false"/>
                <w:sz w:val="18"/>
                <w:szCs w:val="18"/>
              </w:rPr>
              <w:t xml:space="preserve">20</w:t>
            </w:r>
          </w:p>
        </w:tc>
        <w:tc>
          <w:tcPr>
            <w:tcW w:type="dxa" w:w="5616"/>
            <w:tcMar>
              <w:top w:type="dxa" w:w="60"/>
              <w:left w:type="dxa" w:w="90"/>
              <w:bottom w:type="dxa" w:w="60"/>
              <w:right w:type="dxa" w:w="90"/>
            </w:tcMar>
          </w:tcPr>
          <w:p>
            <w:r>
              <w:rPr>
                <w:b w:val="false"/>
                <w:bCs w:val="false"/>
                <w:sz w:val="18"/>
                <w:szCs w:val="18"/>
              </w:rPr>
              <w:t xml:space="preserve">0.985</w:t>
            </w:r>
          </w:p>
        </w:tc>
      </w:tr>
    </w:tbl>
    <w:p>
      <w:pPr>
        <w:spacing w:after="140"/>
      </w:pPr>
      <w:r>
        <w:rPr>
          <w:sz w:val="22"/>
          <w:szCs w:val="22"/>
        </w:rPr>
        <w:t xml:space="preserve">A headteacher able to review ten pupils per hundred would, following the model's ranking, review a list containing 96.3% of the pupils who subsequently left. Raising capacity to fifteen per hundred adds 1.8 percentage points. This is the form in which the result is operationally meaningful, and it is identical across the experimental arms.</w:t>
      </w:r>
    </w:p>
    <w:p>
      <w:pPr>
        <w:spacing w:after="140"/>
      </w:pPr>
      <w:r>
        <w:rPr>
          <w:sz w:val="22"/>
          <w:szCs w:val="22"/>
        </w:rPr>
        <w:t xml:space="preserve">A decision threshold of 0.19 recorded in an earlier project artefact was not used for any reported result; its caseload consequence (9.2 flagged per 100, recall 0.948) is included above for completeness.</w:t>
      </w:r>
    </w:p>
    <w:p>
      <w:pPr>
        <w:pStyle w:val="Heading1"/>
        <w:spacing w:after="160" w:before="280"/>
      </w:pPr>
      <w:r>
        <w:t xml:space="preserve">R10  Subgroup performance</w:t>
      </w:r>
    </w:p>
    <w:p>
      <w:pPr>
        <w:spacing w:after="80" w:before="160"/>
      </w:pPr>
      <w:r>
        <w:rPr>
          <w:b/>
          <w:bCs/>
          <w:sz w:val="20"/>
          <w:szCs w:val="20"/>
        </w:rPr>
        <w:t xml:space="preserve">Table R10. Fairness audit at the 0.5 threshold, against the pre-declared 0.10 acceptability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36"/>
        <w:gridCol w:w="2059"/>
        <w:gridCol w:w="1872"/>
        <w:gridCol w:w="1685"/>
        <w:gridCol w:w="1123"/>
      </w:tblGrid>
      <w:tr>
        <w:trPr>
          <w:tblHeader/>
        </w:trPr>
        <w:tc>
          <w:tcPr>
            <w:tcW w:type="dxa" w:w="1685"/>
            <w:shd w:fill="E8EDF2" w:val="clear"/>
            <w:tcMar>
              <w:top w:type="dxa" w:w="60"/>
              <w:left w:type="dxa" w:w="90"/>
              <w:bottom w:type="dxa" w:w="60"/>
              <w:right w:type="dxa" w:w="90"/>
            </w:tcMar>
          </w:tcPr>
          <w:p>
            <w:r>
              <w:rPr>
                <w:b/>
                <w:bCs/>
                <w:sz w:val="18"/>
                <w:szCs w:val="18"/>
              </w:rPr>
              <w:t xml:space="preserve">Attribute</w:t>
            </w:r>
          </w:p>
        </w:tc>
        <w:tc>
          <w:tcPr>
            <w:tcW w:type="dxa" w:w="936"/>
            <w:shd w:fill="E8EDF2" w:val="clear"/>
            <w:tcMar>
              <w:top w:type="dxa" w:w="60"/>
              <w:left w:type="dxa" w:w="90"/>
              <w:bottom w:type="dxa" w:w="60"/>
              <w:right w:type="dxa" w:w="90"/>
            </w:tcMar>
          </w:tcPr>
          <w:p>
            <w:r>
              <w:rPr>
                <w:b/>
                <w:bCs/>
                <w:sz w:val="18"/>
                <w:szCs w:val="18"/>
              </w:rPr>
              <w:t xml:space="preserve">Groups</w:t>
            </w:r>
          </w:p>
        </w:tc>
        <w:tc>
          <w:tcPr>
            <w:tcW w:type="dxa" w:w="2059"/>
            <w:shd w:fill="E8EDF2" w:val="clear"/>
            <w:tcMar>
              <w:top w:type="dxa" w:w="60"/>
              <w:left w:type="dxa" w:w="90"/>
              <w:bottom w:type="dxa" w:w="60"/>
              <w:right w:type="dxa" w:w="90"/>
            </w:tcMar>
          </w:tcPr>
          <w:p>
            <w:r>
              <w:rPr>
                <w:b/>
                <w:bCs/>
                <w:sz w:val="18"/>
                <w:szCs w:val="18"/>
              </w:rPr>
              <w:t xml:space="preserve">Equal Opportunity difference</w:t>
            </w:r>
          </w:p>
        </w:tc>
        <w:tc>
          <w:tcPr>
            <w:tcW w:type="dxa" w:w="1872"/>
            <w:shd w:fill="E8EDF2" w:val="clear"/>
            <w:tcMar>
              <w:top w:type="dxa" w:w="60"/>
              <w:left w:type="dxa" w:w="90"/>
              <w:bottom w:type="dxa" w:w="60"/>
              <w:right w:type="dxa" w:w="90"/>
            </w:tcMar>
          </w:tcPr>
          <w:p>
            <w:r>
              <w:rPr>
                <w:b/>
                <w:bCs/>
                <w:sz w:val="18"/>
                <w:szCs w:val="18"/>
              </w:rPr>
              <w:t xml:space="preserve">Equalized Odds difference</w:t>
            </w:r>
          </w:p>
        </w:tc>
        <w:tc>
          <w:tcPr>
            <w:tcW w:type="dxa" w:w="1685"/>
            <w:shd w:fill="E8EDF2" w:val="clear"/>
            <w:tcMar>
              <w:top w:type="dxa" w:w="60"/>
              <w:left w:type="dxa" w:w="90"/>
              <w:bottom w:type="dxa" w:w="60"/>
              <w:right w:type="dxa" w:w="90"/>
            </w:tcMar>
          </w:tcPr>
          <w:p>
            <w:r>
              <w:rPr>
                <w:b/>
                <w:bCs/>
                <w:sz w:val="18"/>
                <w:szCs w:val="18"/>
              </w:rPr>
              <w:t xml:space="preserve">Smallest subgroup, dropout cases</w:t>
            </w:r>
          </w:p>
        </w:tc>
        <w:tc>
          <w:tcPr>
            <w:tcW w:type="dxa" w:w="1123"/>
            <w:shd w:fill="E8EDF2" w:val="clear"/>
            <w:tcMar>
              <w:top w:type="dxa" w:w="60"/>
              <w:left w:type="dxa" w:w="90"/>
              <w:bottom w:type="dxa" w:w="60"/>
              <w:right w:type="dxa" w:w="90"/>
            </w:tcMar>
          </w:tcPr>
          <w:p>
            <w:r>
              <w:rPr>
                <w:b/>
                <w:bCs/>
                <w:sz w:val="18"/>
                <w:szCs w:val="18"/>
              </w:rPr>
              <w:t xml:space="preserve">Within threshold</w:t>
            </w:r>
          </w:p>
        </w:tc>
      </w:tr>
      <w:tr>
        <w:tc>
          <w:tcPr>
            <w:tcW w:type="dxa" w:w="1685"/>
            <w:tcMar>
              <w:top w:type="dxa" w:w="60"/>
              <w:left w:type="dxa" w:w="90"/>
              <w:bottom w:type="dxa" w:w="60"/>
              <w:right w:type="dxa" w:w="90"/>
            </w:tcMar>
          </w:tcPr>
          <w:p>
            <w:r>
              <w:rPr>
                <w:b w:val="false"/>
                <w:bCs w:val="false"/>
                <w:sz w:val="18"/>
                <w:szCs w:val="18"/>
              </w:rPr>
              <w:t xml:space="preserve">Gender</w:t>
            </w:r>
          </w:p>
        </w:tc>
        <w:tc>
          <w:tcPr>
            <w:tcW w:type="dxa" w:w="936"/>
            <w:tcMar>
              <w:top w:type="dxa" w:w="60"/>
              <w:left w:type="dxa" w:w="90"/>
              <w:bottom w:type="dxa" w:w="60"/>
              <w:right w:type="dxa" w:w="90"/>
            </w:tcMar>
          </w:tcPr>
          <w:p>
            <w:r>
              <w:rPr>
                <w:b w:val="false"/>
                <w:bCs w:val="false"/>
                <w:sz w:val="18"/>
                <w:szCs w:val="18"/>
              </w:rPr>
              <w:t xml:space="preserve">2</w:t>
            </w:r>
          </w:p>
        </w:tc>
        <w:tc>
          <w:tcPr>
            <w:tcW w:type="dxa" w:w="2059"/>
            <w:tcMar>
              <w:top w:type="dxa" w:w="60"/>
              <w:left w:type="dxa" w:w="90"/>
              <w:bottom w:type="dxa" w:w="60"/>
              <w:right w:type="dxa" w:w="90"/>
            </w:tcMar>
          </w:tcPr>
          <w:p>
            <w:r>
              <w:rPr>
                <w:b w:val="false"/>
                <w:bCs w:val="false"/>
                <w:sz w:val="18"/>
                <w:szCs w:val="18"/>
              </w:rPr>
              <w:t xml:space="preserve">0.000</w:t>
            </w:r>
          </w:p>
        </w:tc>
        <w:tc>
          <w:tcPr>
            <w:tcW w:type="dxa" w:w="1872"/>
            <w:tcMar>
              <w:top w:type="dxa" w:w="60"/>
              <w:left w:type="dxa" w:w="90"/>
              <w:bottom w:type="dxa" w:w="60"/>
              <w:right w:type="dxa" w:w="90"/>
            </w:tcMar>
          </w:tcPr>
          <w:p>
            <w:r>
              <w:rPr>
                <w:b w:val="false"/>
                <w:bCs w:val="false"/>
                <w:sz w:val="18"/>
                <w:szCs w:val="18"/>
              </w:rPr>
              <w:t xml:space="preserve">0.014</w:t>
            </w:r>
          </w:p>
        </w:tc>
        <w:tc>
          <w:tcPr>
            <w:tcW w:type="dxa" w:w="1685"/>
            <w:tcMar>
              <w:top w:type="dxa" w:w="60"/>
              <w:left w:type="dxa" w:w="90"/>
              <w:bottom w:type="dxa" w:w="60"/>
              <w:right w:type="dxa" w:w="90"/>
            </w:tcMar>
          </w:tcPr>
          <w:p>
            <w:r>
              <w:rPr>
                <w:b w:val="false"/>
                <w:bCs w:val="false"/>
                <w:sz w:val="18"/>
                <w:szCs w:val="18"/>
              </w:rPr>
              <w:t xml:space="preserve">7</w:t>
            </w:r>
          </w:p>
        </w:tc>
        <w:tc>
          <w:tcPr>
            <w:tcW w:type="dxa" w:w="1123"/>
            <w:tcMar>
              <w:top w:type="dxa" w:w="60"/>
              <w:left w:type="dxa" w:w="90"/>
              <w:bottom w:type="dxa" w:w="60"/>
              <w:right w:type="dxa" w:w="90"/>
            </w:tcMar>
          </w:tcPr>
          <w:p>
            <w:r>
              <w:rPr>
                <w:b w:val="false"/>
                <w:bCs w:val="false"/>
                <w:sz w:val="18"/>
                <w:szCs w:val="18"/>
              </w:rPr>
              <w:t xml:space="preserve">Yes</w:t>
            </w:r>
          </w:p>
        </w:tc>
      </w:tr>
      <w:tr>
        <w:tc>
          <w:tcPr>
            <w:tcW w:type="dxa" w:w="1685"/>
            <w:tcMar>
              <w:top w:type="dxa" w:w="60"/>
              <w:left w:type="dxa" w:w="90"/>
              <w:bottom w:type="dxa" w:w="60"/>
              <w:right w:type="dxa" w:w="90"/>
            </w:tcMar>
          </w:tcPr>
          <w:p>
            <w:r>
              <w:rPr>
                <w:b w:val="false"/>
                <w:bCs w:val="false"/>
                <w:sz w:val="18"/>
                <w:szCs w:val="18"/>
              </w:rPr>
              <w:t xml:space="preserve">Geographic zone</w:t>
            </w:r>
          </w:p>
        </w:tc>
        <w:tc>
          <w:tcPr>
            <w:tcW w:type="dxa" w:w="936"/>
            <w:tcMar>
              <w:top w:type="dxa" w:w="60"/>
              <w:left w:type="dxa" w:w="90"/>
              <w:bottom w:type="dxa" w:w="60"/>
              <w:right w:type="dxa" w:w="90"/>
            </w:tcMar>
          </w:tcPr>
          <w:p>
            <w:r>
              <w:rPr>
                <w:b w:val="false"/>
                <w:bCs w:val="false"/>
                <w:sz w:val="18"/>
                <w:szCs w:val="18"/>
              </w:rPr>
              <w:t xml:space="preserve">2</w:t>
            </w:r>
          </w:p>
        </w:tc>
        <w:tc>
          <w:tcPr>
            <w:tcW w:type="dxa" w:w="2059"/>
            <w:tcMar>
              <w:top w:type="dxa" w:w="60"/>
              <w:left w:type="dxa" w:w="90"/>
              <w:bottom w:type="dxa" w:w="60"/>
              <w:right w:type="dxa" w:w="90"/>
            </w:tcMar>
          </w:tcPr>
          <w:p>
            <w:r>
              <w:rPr>
                <w:b w:val="false"/>
                <w:bCs w:val="false"/>
                <w:sz w:val="18"/>
                <w:szCs w:val="18"/>
              </w:rPr>
              <w:t xml:space="preserve">0.000</w:t>
            </w:r>
          </w:p>
        </w:tc>
        <w:tc>
          <w:tcPr>
            <w:tcW w:type="dxa" w:w="1872"/>
            <w:tcMar>
              <w:top w:type="dxa" w:w="60"/>
              <w:left w:type="dxa" w:w="90"/>
              <w:bottom w:type="dxa" w:w="60"/>
              <w:right w:type="dxa" w:w="90"/>
            </w:tcMar>
          </w:tcPr>
          <w:p>
            <w:r>
              <w:rPr>
                <w:b w:val="false"/>
                <w:bCs w:val="false"/>
                <w:sz w:val="18"/>
                <w:szCs w:val="18"/>
              </w:rPr>
              <w:t xml:space="preserve">0.015</w:t>
            </w:r>
          </w:p>
        </w:tc>
        <w:tc>
          <w:tcPr>
            <w:tcW w:type="dxa" w:w="1685"/>
            <w:tcMar>
              <w:top w:type="dxa" w:w="60"/>
              <w:left w:type="dxa" w:w="90"/>
              <w:bottom w:type="dxa" w:w="60"/>
              <w:right w:type="dxa" w:w="90"/>
            </w:tcMar>
          </w:tcPr>
          <w:p>
            <w:r>
              <w:rPr>
                <w:b w:val="false"/>
                <w:bCs w:val="false"/>
                <w:sz w:val="18"/>
                <w:szCs w:val="18"/>
              </w:rPr>
              <w:t xml:space="preserve">5</w:t>
            </w:r>
          </w:p>
        </w:tc>
        <w:tc>
          <w:tcPr>
            <w:tcW w:type="dxa" w:w="1123"/>
            <w:tcMar>
              <w:top w:type="dxa" w:w="60"/>
              <w:left w:type="dxa" w:w="90"/>
              <w:bottom w:type="dxa" w:w="60"/>
              <w:right w:type="dxa" w:w="90"/>
            </w:tcMar>
          </w:tcPr>
          <w:p>
            <w:r>
              <w:rPr>
                <w:b w:val="false"/>
                <w:bCs w:val="false"/>
                <w:sz w:val="18"/>
                <w:szCs w:val="18"/>
              </w:rPr>
              <w:t xml:space="preserve">Yes</w:t>
            </w:r>
          </w:p>
        </w:tc>
      </w:tr>
      <w:tr>
        <w:tc>
          <w:tcPr>
            <w:tcW w:type="dxa" w:w="1685"/>
            <w:tcMar>
              <w:top w:type="dxa" w:w="60"/>
              <w:left w:type="dxa" w:w="90"/>
              <w:bottom w:type="dxa" w:w="60"/>
              <w:right w:type="dxa" w:w="90"/>
            </w:tcMar>
          </w:tcPr>
          <w:p>
            <w:r>
              <w:rPr>
                <w:b w:val="false"/>
                <w:bCs w:val="false"/>
                <w:sz w:val="18"/>
                <w:szCs w:val="18"/>
              </w:rPr>
              <w:t xml:space="preserve">School code</w:t>
            </w:r>
          </w:p>
        </w:tc>
        <w:tc>
          <w:tcPr>
            <w:tcW w:type="dxa" w:w="936"/>
            <w:tcMar>
              <w:top w:type="dxa" w:w="60"/>
              <w:left w:type="dxa" w:w="90"/>
              <w:bottom w:type="dxa" w:w="60"/>
              <w:right w:type="dxa" w:w="90"/>
            </w:tcMar>
          </w:tcPr>
          <w:p>
            <w:r>
              <w:rPr>
                <w:b w:val="false"/>
                <w:bCs w:val="false"/>
                <w:sz w:val="18"/>
                <w:szCs w:val="18"/>
              </w:rPr>
              <w:t xml:space="preserve">4</w:t>
            </w:r>
          </w:p>
        </w:tc>
        <w:tc>
          <w:tcPr>
            <w:tcW w:type="dxa" w:w="2059"/>
            <w:tcMar>
              <w:top w:type="dxa" w:w="60"/>
              <w:left w:type="dxa" w:w="90"/>
              <w:bottom w:type="dxa" w:w="60"/>
              <w:right w:type="dxa" w:w="90"/>
            </w:tcMar>
          </w:tcPr>
          <w:p>
            <w:r>
              <w:rPr>
                <w:b w:val="false"/>
                <w:bCs w:val="false"/>
                <w:sz w:val="18"/>
                <w:szCs w:val="18"/>
              </w:rPr>
              <w:t xml:space="preserve">0.000</w:t>
            </w:r>
          </w:p>
        </w:tc>
        <w:tc>
          <w:tcPr>
            <w:tcW w:type="dxa" w:w="1872"/>
            <w:tcMar>
              <w:top w:type="dxa" w:w="60"/>
              <w:left w:type="dxa" w:w="90"/>
              <w:bottom w:type="dxa" w:w="60"/>
              <w:right w:type="dxa" w:w="90"/>
            </w:tcMar>
          </w:tcPr>
          <w:p>
            <w:r>
              <w:rPr>
                <w:b w:val="false"/>
                <w:bCs w:val="false"/>
                <w:sz w:val="18"/>
                <w:szCs w:val="18"/>
              </w:rPr>
              <w:t xml:space="preserve">0.019</w:t>
            </w:r>
          </w:p>
        </w:tc>
        <w:tc>
          <w:tcPr>
            <w:tcW w:type="dxa" w:w="1685"/>
            <w:tcMar>
              <w:top w:type="dxa" w:w="60"/>
              <w:left w:type="dxa" w:w="90"/>
              <w:bottom w:type="dxa" w:w="60"/>
              <w:right w:type="dxa" w:w="90"/>
            </w:tcMar>
          </w:tcPr>
          <w:p>
            <w:r>
              <w:rPr>
                <w:b w:val="false"/>
                <w:bCs w:val="false"/>
                <w:sz w:val="18"/>
                <w:szCs w:val="18"/>
              </w:rPr>
              <w:t xml:space="preserve">1</w:t>
            </w:r>
          </w:p>
        </w:tc>
        <w:tc>
          <w:tcPr>
            <w:tcW w:type="dxa" w:w="1123"/>
            <w:tcMar>
              <w:top w:type="dxa" w:w="60"/>
              <w:left w:type="dxa" w:w="90"/>
              <w:bottom w:type="dxa" w:w="60"/>
              <w:right w:type="dxa" w:w="90"/>
            </w:tcMar>
          </w:tcPr>
          <w:p>
            <w:r>
              <w:rPr>
                <w:b w:val="false"/>
                <w:bCs w:val="false"/>
                <w:sz w:val="18"/>
                <w:szCs w:val="18"/>
              </w:rPr>
              <w:t xml:space="preserve">Yes</w:t>
            </w:r>
          </w:p>
        </w:tc>
      </w:tr>
    </w:tbl>
    <w:p>
      <w:pPr>
        <w:spacing w:after="140"/>
      </w:pPr>
      <w:r>
        <w:rPr>
          <w:sz w:val="22"/>
          <w:szCs w:val="22"/>
        </w:rPr>
        <w:t xml:space="preserve">All measured differences fall well within the declared acceptability threshold. The equal opportunity differences of zero reflect the near-perfect recall achieved in every subgroup rather than an absence of disparity in any substantive sense.</w:t>
      </w:r>
    </w:p>
    <w:p>
      <w:pPr>
        <w:spacing w:after="140"/>
      </w:pPr>
      <w:r>
        <w:rPr>
          <w:sz w:val="22"/>
          <w:szCs w:val="22"/>
        </w:rPr>
        <w:t xml:space="preserve">These figures should not be read as establishing fairness. The smallest subgroup examined contains a single dropout case, and the two pre-specified attributes contain five and seven dropout cases in their smaller groups. Differences computed on such counts are not informative, and a disparity of practical size could not be detected at this sample size. The audit establishes that no large disparity is visible, which is a weaker claim than the absence of disparity. The previous revision reported a geographic-zone disparity of 0.167 in a closing sentence without diagnosis; under the corrected pipeline and the records-only feature set the corresponding figure is 0.015, and geographic zone is in any case substantially confounded with school in this sample.</w:t>
      </w:r>
    </w:p>
    <w:p>
      <w:pPr>
        <w:pStyle w:val="Heading1"/>
        <w:spacing w:after="160" w:before="280"/>
      </w:pPr>
      <w:r>
        <w:t xml:space="preserve">R11  Computational cost</w:t>
      </w:r>
    </w:p>
    <w:p>
      <w:pPr>
        <w:spacing w:after="140"/>
      </w:pPr>
      <w:r>
        <w:rPr>
          <w:sz w:val="22"/>
          <w:szCs w:val="22"/>
        </w:rPr>
        <w:t xml:space="preserve">Mean fit time across 250 fits per arm was 0.131 s (SD 0.047) for the cross-entropy reference and 0.108 s (SD 0.034) for the focal arm, a difference of −17.5%. These measurements were taken in the environment recorded in M19 and supersede those previously reported, which disagreed with the project's own committed timing file.</w:t>
      </w:r>
    </w:p>
    <w:p>
      <w:pPr>
        <w:spacing w:after="140"/>
      </w:pPr>
      <w:r>
        <w:rPr>
          <w:sz w:val="22"/>
          <w:szCs w:val="22"/>
        </w:rPr>
        <w:t xml:space="preserve">No causal attribution is made from these measurements. Fit time under a custom objective depends on the Python-level gradient computation, on early-stopping behaviour and on the ambient load of the execution environment, none of which were controlled here. The comparison is reported because it was measured, not as evidence about the computational cost of the focal objective.</w:t>
      </w:r>
    </w:p>
    <w:p>
      <w:pPr>
        <w:pStyle w:val="Heading1"/>
        <w:spacing w:after="160" w:before="280"/>
      </w:pPr>
      <w:r>
        <w:t xml:space="preserve">R12  Secondary analysis: the questionnaire feature set</w:t>
      </w:r>
    </w:p>
    <w:p>
      <w:pPr>
        <w:spacing w:after="140"/>
      </w:pPr>
      <w:r>
        <w:rPr>
          <w:sz w:val="22"/>
          <w:szCs w:val="22"/>
        </w:rPr>
        <w:t xml:space="preserve">The primary analysis is restricted to school-record variables because questionnaire items were proxy-reported for dropouts and self-reported for retained pupils (M4). Re-running the full comparison with the questionnaire items included quantifies the consequence of that measurement asymmetry.</w:t>
      </w:r>
    </w:p>
    <w:p>
      <w:pPr>
        <w:spacing w:after="80" w:before="160"/>
      </w:pPr>
      <w:r>
        <w:rPr>
          <w:b/>
          <w:bCs/>
          <w:sz w:val="20"/>
          <w:szCs w:val="20"/>
        </w:rPr>
        <w:t xml:space="preserve">Table R11. Primary and secondary feature sets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2"/>
        <w:gridCol w:w="2238"/>
        <w:gridCol w:w="2442"/>
        <w:gridCol w:w="1628"/>
      </w:tblGrid>
      <w:tr>
        <w:trPr>
          <w:tblHeader/>
        </w:trPr>
        <w:tc>
          <w:tcPr>
            <w:tcW w:type="dxa" w:w="3052"/>
            <w:shd w:fill="E8EDF2" w:val="clear"/>
            <w:tcMar>
              <w:top w:type="dxa" w:w="60"/>
              <w:left w:type="dxa" w:w="90"/>
              <w:bottom w:type="dxa" w:w="60"/>
              <w:right w:type="dxa" w:w="90"/>
            </w:tcMar>
          </w:tcPr>
          <w:p>
            <w:r>
              <w:rPr>
                <w:b/>
                <w:bCs/>
                <w:sz w:val="18"/>
                <w:szCs w:val="18"/>
              </w:rPr>
              <w:t xml:space="preserve">Quantity</w:t>
            </w:r>
          </w:p>
        </w:tc>
        <w:tc>
          <w:tcPr>
            <w:tcW w:type="dxa" w:w="2238"/>
            <w:shd w:fill="E8EDF2" w:val="clear"/>
            <w:tcMar>
              <w:top w:type="dxa" w:w="60"/>
              <w:left w:type="dxa" w:w="90"/>
              <w:bottom w:type="dxa" w:w="60"/>
              <w:right w:type="dxa" w:w="90"/>
            </w:tcMar>
          </w:tcPr>
          <w:p>
            <w:r>
              <w:rPr>
                <w:b/>
                <w:bCs/>
                <w:sz w:val="18"/>
                <w:szCs w:val="18"/>
              </w:rPr>
              <w:t xml:space="preserve">School records only</w:t>
            </w:r>
          </w:p>
        </w:tc>
        <w:tc>
          <w:tcPr>
            <w:tcW w:type="dxa" w:w="2442"/>
            <w:shd w:fill="E8EDF2" w:val="clear"/>
            <w:tcMar>
              <w:top w:type="dxa" w:w="60"/>
              <w:left w:type="dxa" w:w="90"/>
              <w:bottom w:type="dxa" w:w="60"/>
              <w:right w:type="dxa" w:w="90"/>
            </w:tcMar>
          </w:tcPr>
          <w:p>
            <w:r>
              <w:rPr>
                <w:b/>
                <w:bCs/>
                <w:sz w:val="18"/>
                <w:szCs w:val="18"/>
              </w:rPr>
              <w:t xml:space="preserve">Records + questionnaire</w:t>
            </w:r>
          </w:p>
        </w:tc>
        <w:tc>
          <w:tcPr>
            <w:tcW w:type="dxa" w:w="1628"/>
            <w:shd w:fill="E8EDF2" w:val="clear"/>
            <w:tcMar>
              <w:top w:type="dxa" w:w="60"/>
              <w:left w:type="dxa" w:w="90"/>
              <w:bottom w:type="dxa" w:w="60"/>
              <w:right w:type="dxa" w:w="90"/>
            </w:tcMar>
          </w:tcPr>
          <w:p>
            <w:r>
              <w:rPr>
                <w:b/>
                <w:bCs/>
                <w:sz w:val="18"/>
                <w:szCs w:val="18"/>
              </w:rPr>
              <w:t xml:space="preserve">Difference</w:t>
            </w:r>
          </w:p>
        </w:tc>
      </w:tr>
      <w:tr>
        <w:tc>
          <w:tcPr>
            <w:tcW w:type="dxa" w:w="3052"/>
            <w:tcMar>
              <w:top w:type="dxa" w:w="60"/>
              <w:left w:type="dxa" w:w="90"/>
              <w:bottom w:type="dxa" w:w="60"/>
              <w:right w:type="dxa" w:w="90"/>
            </w:tcMar>
          </w:tcPr>
          <w:p>
            <w:r>
              <w:rPr>
                <w:b w:val="false"/>
                <w:bCs w:val="false"/>
                <w:sz w:val="18"/>
                <w:szCs w:val="18"/>
              </w:rPr>
              <w:t xml:space="preserve">Features per fold</w:t>
            </w:r>
          </w:p>
        </w:tc>
        <w:tc>
          <w:tcPr>
            <w:tcW w:type="dxa" w:w="2238"/>
            <w:tcMar>
              <w:top w:type="dxa" w:w="60"/>
              <w:left w:type="dxa" w:w="90"/>
              <w:bottom w:type="dxa" w:w="60"/>
              <w:right w:type="dxa" w:w="90"/>
            </w:tcMar>
          </w:tcPr>
          <w:p>
            <w:r>
              <w:rPr>
                <w:b w:val="false"/>
                <w:bCs w:val="false"/>
                <w:sz w:val="18"/>
                <w:szCs w:val="18"/>
              </w:rPr>
              <w:t xml:space="preserve">15</w:t>
            </w:r>
          </w:p>
        </w:tc>
        <w:tc>
          <w:tcPr>
            <w:tcW w:type="dxa" w:w="2442"/>
            <w:tcMar>
              <w:top w:type="dxa" w:w="60"/>
              <w:left w:type="dxa" w:w="90"/>
              <w:bottom w:type="dxa" w:w="60"/>
              <w:right w:type="dxa" w:w="90"/>
            </w:tcMar>
          </w:tcPr>
          <w:p>
            <w:r>
              <w:rPr>
                <w:b w:val="false"/>
                <w:bCs w:val="false"/>
                <w:sz w:val="18"/>
                <w:szCs w:val="18"/>
              </w:rPr>
              <w:t xml:space="preserve">47</w:t>
            </w:r>
          </w:p>
        </w:tc>
        <w:tc>
          <w:tcPr>
            <w:tcW w:type="dxa" w:w="1628"/>
            <w:tcMar>
              <w:top w:type="dxa" w:w="60"/>
              <w:left w:type="dxa" w:w="90"/>
              <w:bottom w:type="dxa" w:w="60"/>
              <w:right w:type="dxa" w:w="90"/>
            </w:tcMar>
          </w:tcPr>
          <w:p>
            <w:r>
              <w:rPr>
                <w:b w:val="false"/>
                <w:bCs w:val="false"/>
                <w:sz w:val="18"/>
                <w:szCs w:val="18"/>
              </w:rPr>
              <w:t xml:space="preserve">+32</w:t>
            </w:r>
          </w:p>
        </w:tc>
      </w:tr>
      <w:tr>
        <w:tc>
          <w:tcPr>
            <w:tcW w:type="dxa" w:w="3052"/>
            <w:tcMar>
              <w:top w:type="dxa" w:w="60"/>
              <w:left w:type="dxa" w:w="90"/>
              <w:bottom w:type="dxa" w:w="60"/>
              <w:right w:type="dxa" w:w="90"/>
            </w:tcMar>
          </w:tcPr>
          <w:p>
            <w:r>
              <w:rPr>
                <w:b w:val="false"/>
                <w:bCs w:val="false"/>
                <w:sz w:val="18"/>
                <w:szCs w:val="18"/>
              </w:rPr>
              <w:t xml:space="preserve">Random Forest, AUC-PR</w:t>
            </w:r>
          </w:p>
        </w:tc>
        <w:tc>
          <w:tcPr>
            <w:tcW w:type="dxa" w:w="2238"/>
            <w:tcMar>
              <w:top w:type="dxa" w:w="60"/>
              <w:left w:type="dxa" w:w="90"/>
              <w:bottom w:type="dxa" w:w="60"/>
              <w:right w:type="dxa" w:w="90"/>
            </w:tcMar>
          </w:tcPr>
          <w:p>
            <w:r>
              <w:rPr>
                <w:b w:val="false"/>
                <w:bCs w:val="false"/>
                <w:sz w:val="18"/>
                <w:szCs w:val="18"/>
              </w:rPr>
              <w:t xml:space="preserve">0.9868</w:t>
            </w:r>
          </w:p>
        </w:tc>
        <w:tc>
          <w:tcPr>
            <w:tcW w:type="dxa" w:w="2442"/>
            <w:tcMar>
              <w:top w:type="dxa" w:w="60"/>
              <w:left w:type="dxa" w:w="90"/>
              <w:bottom w:type="dxa" w:w="60"/>
              <w:right w:type="dxa" w:w="90"/>
            </w:tcMar>
          </w:tcPr>
          <w:p>
            <w:r>
              <w:rPr>
                <w:b w:val="false"/>
                <w:bCs w:val="false"/>
                <w:sz w:val="18"/>
                <w:szCs w:val="18"/>
              </w:rPr>
              <w:t xml:space="preserve">0.9930</w:t>
            </w:r>
          </w:p>
        </w:tc>
        <w:tc>
          <w:tcPr>
            <w:tcW w:type="dxa" w:w="1628"/>
            <w:tcMar>
              <w:top w:type="dxa" w:w="60"/>
              <w:left w:type="dxa" w:w="90"/>
              <w:bottom w:type="dxa" w:w="60"/>
              <w:right w:type="dxa" w:w="90"/>
            </w:tcMar>
          </w:tcPr>
          <w:p>
            <w:r>
              <w:rPr>
                <w:b w:val="false"/>
                <w:bCs w:val="false"/>
                <w:sz w:val="18"/>
                <w:szCs w:val="18"/>
              </w:rPr>
              <w:t xml:space="preserve">+0.0062</w:t>
            </w:r>
          </w:p>
        </w:tc>
      </w:tr>
      <w:tr>
        <w:tc>
          <w:tcPr>
            <w:tcW w:type="dxa" w:w="3052"/>
            <w:tcMar>
              <w:top w:type="dxa" w:w="60"/>
              <w:left w:type="dxa" w:w="90"/>
              <w:bottom w:type="dxa" w:w="60"/>
              <w:right w:type="dxa" w:w="90"/>
            </w:tcMar>
          </w:tcPr>
          <w:p>
            <w:r>
              <w:rPr>
                <w:b w:val="false"/>
                <w:bCs w:val="false"/>
                <w:sz w:val="18"/>
                <w:szCs w:val="18"/>
              </w:rPr>
              <w:t xml:space="preserve">LightGBM, AUC-PR</w:t>
            </w:r>
          </w:p>
        </w:tc>
        <w:tc>
          <w:tcPr>
            <w:tcW w:type="dxa" w:w="2238"/>
            <w:tcMar>
              <w:top w:type="dxa" w:w="60"/>
              <w:left w:type="dxa" w:w="90"/>
              <w:bottom w:type="dxa" w:w="60"/>
              <w:right w:type="dxa" w:w="90"/>
            </w:tcMar>
          </w:tcPr>
          <w:p>
            <w:r>
              <w:rPr>
                <w:b w:val="false"/>
                <w:bCs w:val="false"/>
                <w:sz w:val="18"/>
                <w:szCs w:val="18"/>
              </w:rPr>
              <w:t xml:space="preserve">0.9812</w:t>
            </w:r>
          </w:p>
        </w:tc>
        <w:tc>
          <w:tcPr>
            <w:tcW w:type="dxa" w:w="2442"/>
            <w:tcMar>
              <w:top w:type="dxa" w:w="60"/>
              <w:left w:type="dxa" w:w="90"/>
              <w:bottom w:type="dxa" w:w="60"/>
              <w:right w:type="dxa" w:w="90"/>
            </w:tcMar>
          </w:tcPr>
          <w:p>
            <w:r>
              <w:rPr>
                <w:b w:val="false"/>
                <w:bCs w:val="false"/>
                <w:sz w:val="18"/>
                <w:szCs w:val="18"/>
              </w:rPr>
              <w:t xml:space="preserve">0.9884</w:t>
            </w:r>
          </w:p>
        </w:tc>
        <w:tc>
          <w:tcPr>
            <w:tcW w:type="dxa" w:w="1628"/>
            <w:tcMar>
              <w:top w:type="dxa" w:w="60"/>
              <w:left w:type="dxa" w:w="90"/>
              <w:bottom w:type="dxa" w:w="60"/>
              <w:right w:type="dxa" w:w="90"/>
            </w:tcMar>
          </w:tcPr>
          <w:p>
            <w:r>
              <w:rPr>
                <w:b w:val="false"/>
                <w:bCs w:val="false"/>
                <w:sz w:val="18"/>
                <w:szCs w:val="18"/>
              </w:rPr>
              <w:t xml:space="preserve">+0.0072</w:t>
            </w:r>
          </w:p>
        </w:tc>
      </w:tr>
      <w:tr>
        <w:tc>
          <w:tcPr>
            <w:tcW w:type="dxa" w:w="3052"/>
            <w:tcMar>
              <w:top w:type="dxa" w:w="60"/>
              <w:left w:type="dxa" w:w="90"/>
              <w:bottom w:type="dxa" w:w="60"/>
              <w:right w:type="dxa" w:w="90"/>
            </w:tcMar>
          </w:tcPr>
          <w:p>
            <w:r>
              <w:rPr>
                <w:b w:val="false"/>
                <w:bCs w:val="false"/>
                <w:sz w:val="18"/>
                <w:szCs w:val="18"/>
              </w:rPr>
              <w:t xml:space="preserve">Best arm, AUC-PR</w:t>
            </w:r>
          </w:p>
        </w:tc>
        <w:tc>
          <w:tcPr>
            <w:tcW w:type="dxa" w:w="2238"/>
            <w:tcMar>
              <w:top w:type="dxa" w:w="60"/>
              <w:left w:type="dxa" w:w="90"/>
              <w:bottom w:type="dxa" w:w="60"/>
              <w:right w:type="dxa" w:w="90"/>
            </w:tcMar>
          </w:tcPr>
          <w:p>
            <w:r>
              <w:rPr>
                <w:b w:val="false"/>
                <w:bCs w:val="false"/>
                <w:sz w:val="18"/>
                <w:szCs w:val="18"/>
              </w:rPr>
              <w:t xml:space="preserve">0.9814</w:t>
            </w:r>
          </w:p>
        </w:tc>
        <w:tc>
          <w:tcPr>
            <w:tcW w:type="dxa" w:w="2442"/>
            <w:tcMar>
              <w:top w:type="dxa" w:w="60"/>
              <w:left w:type="dxa" w:w="90"/>
              <w:bottom w:type="dxa" w:w="60"/>
              <w:right w:type="dxa" w:w="90"/>
            </w:tcMar>
          </w:tcPr>
          <w:p>
            <w:r>
              <w:rPr>
                <w:b w:val="false"/>
                <w:bCs w:val="false"/>
                <w:sz w:val="18"/>
                <w:szCs w:val="18"/>
              </w:rPr>
              <w:t xml:space="preserve">0.9869</w:t>
            </w:r>
          </w:p>
        </w:tc>
        <w:tc>
          <w:tcPr>
            <w:tcW w:type="dxa" w:w="1628"/>
            <w:tcMar>
              <w:top w:type="dxa" w:w="60"/>
              <w:left w:type="dxa" w:w="90"/>
              <w:bottom w:type="dxa" w:w="60"/>
              <w:right w:type="dxa" w:w="90"/>
            </w:tcMar>
          </w:tcPr>
          <w:p>
            <w:r>
              <w:rPr>
                <w:b w:val="false"/>
                <w:bCs w:val="false"/>
                <w:sz w:val="18"/>
                <w:szCs w:val="18"/>
              </w:rPr>
              <w:t xml:space="preserve">+0.0055</w:t>
            </w:r>
          </w:p>
        </w:tc>
      </w:tr>
      <w:tr>
        <w:tc>
          <w:tcPr>
            <w:tcW w:type="dxa" w:w="3052"/>
            <w:tcMar>
              <w:top w:type="dxa" w:w="60"/>
              <w:left w:type="dxa" w:w="90"/>
              <w:bottom w:type="dxa" w:w="60"/>
              <w:right w:type="dxa" w:w="90"/>
            </w:tcMar>
          </w:tcPr>
          <w:p>
            <w:r>
              <w:rPr>
                <w:b w:val="false"/>
                <w:bCs w:val="false"/>
                <w:sz w:val="18"/>
                <w:szCs w:val="18"/>
              </w:rPr>
              <w:t xml:space="preserve">Focal vs cross-entropy</w:t>
            </w:r>
          </w:p>
        </w:tc>
        <w:tc>
          <w:tcPr>
            <w:tcW w:type="dxa" w:w="2238"/>
            <w:tcMar>
              <w:top w:type="dxa" w:w="60"/>
              <w:left w:type="dxa" w:w="90"/>
              <w:bottom w:type="dxa" w:w="60"/>
              <w:right w:type="dxa" w:w="90"/>
            </w:tcMar>
          </w:tcPr>
          <w:p>
            <w:r>
              <w:rPr>
                <w:b w:val="false"/>
                <w:bCs w:val="false"/>
                <w:sz w:val="18"/>
                <w:szCs w:val="18"/>
              </w:rPr>
              <w:t xml:space="preserve">−0.0033</w:t>
            </w:r>
          </w:p>
        </w:tc>
        <w:tc>
          <w:tcPr>
            <w:tcW w:type="dxa" w:w="2442"/>
            <w:tcMar>
              <w:top w:type="dxa" w:w="60"/>
              <w:left w:type="dxa" w:w="90"/>
              <w:bottom w:type="dxa" w:w="60"/>
              <w:right w:type="dxa" w:w="90"/>
            </w:tcMar>
          </w:tcPr>
          <w:p>
            <w:r>
              <w:rPr>
                <w:b w:val="false"/>
                <w:bCs w:val="false"/>
                <w:sz w:val="18"/>
                <w:szCs w:val="18"/>
              </w:rPr>
              <w:t xml:space="preserve">−0.0022</w:t>
            </w:r>
          </w:p>
        </w:tc>
        <w:tc>
          <w:tcPr>
            <w:tcW w:type="dxa" w:w="1628"/>
            <w:tcMar>
              <w:top w:type="dxa" w:w="60"/>
              <w:left w:type="dxa" w:w="90"/>
              <w:bottom w:type="dxa" w:w="60"/>
              <w:right w:type="dxa" w:w="90"/>
            </w:tcMar>
          </w:tcPr>
          <w:p>
            <w:r>
              <w:rPr>
                <w:b w:val="false"/>
                <w:bCs w:val="false"/>
                <w:sz w:val="18"/>
                <w:szCs w:val="18"/>
              </w:rPr>
              <w:t xml:space="preserve">—</w:t>
            </w:r>
          </w:p>
        </w:tc>
      </w:tr>
      <w:tr>
        <w:tc>
          <w:tcPr>
            <w:tcW w:type="dxa" w:w="3052"/>
            <w:tcMar>
              <w:top w:type="dxa" w:w="60"/>
              <w:left w:type="dxa" w:w="90"/>
              <w:bottom w:type="dxa" w:w="60"/>
              <w:right w:type="dxa" w:w="90"/>
            </w:tcMar>
          </w:tcPr>
          <w:p>
            <w:r>
              <w:rPr>
                <w:b w:val="false"/>
                <w:bCs w:val="false"/>
                <w:sz w:val="18"/>
                <w:szCs w:val="18"/>
              </w:rPr>
              <w:t xml:space="preserve">Seeds favouring cross-entropy</w:t>
            </w:r>
          </w:p>
        </w:tc>
        <w:tc>
          <w:tcPr>
            <w:tcW w:type="dxa" w:w="2238"/>
            <w:tcMar>
              <w:top w:type="dxa" w:w="60"/>
              <w:left w:type="dxa" w:w="90"/>
              <w:bottom w:type="dxa" w:w="60"/>
              <w:right w:type="dxa" w:w="90"/>
            </w:tcMar>
          </w:tcPr>
          <w:p>
            <w:r>
              <w:rPr>
                <w:b w:val="false"/>
                <w:bCs w:val="false"/>
                <w:sz w:val="18"/>
                <w:szCs w:val="18"/>
              </w:rPr>
              <w:t xml:space="preserve">10 / 10</w:t>
            </w:r>
          </w:p>
        </w:tc>
        <w:tc>
          <w:tcPr>
            <w:tcW w:type="dxa" w:w="2442"/>
            <w:tcMar>
              <w:top w:type="dxa" w:w="60"/>
              <w:left w:type="dxa" w:w="90"/>
              <w:bottom w:type="dxa" w:w="60"/>
              <w:right w:type="dxa" w:w="90"/>
            </w:tcMar>
          </w:tcPr>
          <w:p>
            <w:r>
              <w:rPr>
                <w:b w:val="false"/>
                <w:bCs w:val="false"/>
                <w:sz w:val="18"/>
                <w:szCs w:val="18"/>
              </w:rPr>
              <w:t xml:space="preserve">10 / 10</w:t>
            </w:r>
          </w:p>
        </w:tc>
        <w:tc>
          <w:tcPr>
            <w:tcW w:type="dxa" w:w="1628"/>
            <w:tcMar>
              <w:top w:type="dxa" w:w="60"/>
              <w:left w:type="dxa" w:w="90"/>
              <w:bottom w:type="dxa" w:w="60"/>
              <w:right w:type="dxa" w:w="90"/>
            </w:tcMar>
          </w:tcPr>
          <w:p>
            <w:r>
              <w:rPr>
                <w:b w:val="false"/>
                <w:bCs w:val="false"/>
                <w:sz w:val="18"/>
                <w:szCs w:val="18"/>
              </w:rPr>
              <w:t xml:space="preserve">—</w:t>
            </w:r>
          </w:p>
        </w:tc>
      </w:tr>
      <w:tr>
        <w:tc>
          <w:tcPr>
            <w:tcW w:type="dxa" w:w="3052"/>
            <w:tcMar>
              <w:top w:type="dxa" w:w="60"/>
              <w:left w:type="dxa" w:w="90"/>
              <w:bottom w:type="dxa" w:w="60"/>
              <w:right w:type="dxa" w:w="90"/>
            </w:tcMar>
          </w:tcPr>
          <w:p>
            <w:r>
              <w:rPr>
                <w:b w:val="false"/>
                <w:bCs w:val="false"/>
                <w:sz w:val="18"/>
                <w:szCs w:val="18"/>
              </w:rPr>
              <w:t xml:space="preserve">Attendance composite contribution</w:t>
            </w:r>
          </w:p>
        </w:tc>
        <w:tc>
          <w:tcPr>
            <w:tcW w:type="dxa" w:w="2238"/>
            <w:tcMar>
              <w:top w:type="dxa" w:w="60"/>
              <w:left w:type="dxa" w:w="90"/>
              <w:bottom w:type="dxa" w:w="60"/>
              <w:right w:type="dxa" w:w="90"/>
            </w:tcMar>
          </w:tcPr>
          <w:p>
            <w:r>
              <w:rPr>
                <w:b w:val="false"/>
                <w:bCs w:val="false"/>
                <w:sz w:val="18"/>
                <w:szCs w:val="18"/>
              </w:rPr>
              <w:t xml:space="preserve">−0.0005</w:t>
            </w:r>
          </w:p>
        </w:tc>
        <w:tc>
          <w:tcPr>
            <w:tcW w:type="dxa" w:w="2442"/>
            <w:tcMar>
              <w:top w:type="dxa" w:w="60"/>
              <w:left w:type="dxa" w:w="90"/>
              <w:bottom w:type="dxa" w:w="60"/>
              <w:right w:type="dxa" w:w="90"/>
            </w:tcMar>
          </w:tcPr>
          <w:p>
            <w:r>
              <w:rPr>
                <w:b w:val="false"/>
                <w:bCs w:val="false"/>
                <w:sz w:val="18"/>
                <w:szCs w:val="18"/>
              </w:rPr>
              <w:t xml:space="preserve">+0.0017</w:t>
            </w:r>
          </w:p>
        </w:tc>
        <w:tc>
          <w:tcPr>
            <w:tcW w:type="dxa" w:w="1628"/>
            <w:tcMar>
              <w:top w:type="dxa" w:w="60"/>
              <w:left w:type="dxa" w:w="90"/>
              <w:bottom w:type="dxa" w:w="60"/>
              <w:right w:type="dxa" w:w="90"/>
            </w:tcMar>
          </w:tcPr>
          <w:p>
            <w:r>
              <w:rPr>
                <w:b w:val="false"/>
                <w:bCs w:val="false"/>
                <w:sz w:val="18"/>
                <w:szCs w:val="18"/>
              </w:rPr>
              <w:t xml:space="preserve">—</w:t>
            </w:r>
          </w:p>
        </w:tc>
      </w:tr>
    </w:tbl>
    <w:p>
      <w:pPr>
        <w:spacing w:after="140"/>
      </w:pPr>
      <w:r>
        <w:rPr>
          <w:sz w:val="22"/>
          <w:szCs w:val="22"/>
        </w:rPr>
        <w:t xml:space="preserve">Adding the questionnaire items raises AUC-PR by approximately 0.006 to 0.007. The increase is modest in absolute terms because school records alone already approach the attainable ceiling, and it should not be read as a measure of the substantive contribution of household circumstances to dropout risk: a portion of it reflects informants who knew the outcome. The direction and reliability of the primary contrast are unchanged, with cross-entropy favoured in all ten seeds under both feature sets.</w:t>
      </w:r>
    </w:p>
    <w:p>
      <w:pPr>
        <w:spacing w:after="140"/>
      </w:pPr>
      <w:r>
        <w:rPr>
          <w:sz w:val="22"/>
          <w:szCs w:val="22"/>
        </w:rPr>
        <w:t xml:space="preserve">The secondary analysis was evaluated by cross-validation only. The held-out partition was scored once, under the primary feature set, and was not revisited.</w:t>
      </w:r>
    </w:p>
    <w:p>
      <w:pPr>
        <w:pStyle w:val="Heading1"/>
        <w:spacing w:after="160" w:before="280"/>
      </w:pPr>
      <w:r>
        <w:t xml:space="preserve">R13  Clearance assessment</w:t>
      </w:r>
    </w:p>
    <w:p>
      <w:pPr>
        <w:spacing w:after="140"/>
      </w:pPr>
      <w:r>
        <w:rPr>
          <w:sz w:val="22"/>
          <w:szCs w:val="22"/>
        </w:rPr>
        <w:t xml:space="preserve">The six clearance conditions applied to the comparison are assessed below, each against a committed output rather than against a description of intent.</w:t>
      </w:r>
    </w:p>
    <w:p>
      <w:pPr>
        <w:spacing w:after="80" w:before="160"/>
      </w:pPr>
      <w:r>
        <w:rPr>
          <w:b/>
          <w:bCs/>
          <w:sz w:val="20"/>
          <w:szCs w:val="20"/>
        </w:rPr>
        <w:t xml:space="preserve">Table R12. Clearance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3182"/>
        <w:gridCol w:w="936"/>
        <w:gridCol w:w="4680"/>
      </w:tblGrid>
      <w:tr>
        <w:trPr>
          <w:tblHeader/>
        </w:trPr>
        <w:tc>
          <w:tcPr>
            <w:tcW w:type="dxa" w:w="562"/>
            <w:shd w:fill="E8EDF2" w:val="clear"/>
            <w:tcMar>
              <w:top w:type="dxa" w:w="60"/>
              <w:left w:type="dxa" w:w="90"/>
              <w:bottom w:type="dxa" w:w="60"/>
              <w:right w:type="dxa" w:w="90"/>
            </w:tcMar>
          </w:tcPr>
          <w:p>
            <w:r>
              <w:rPr>
                <w:b/>
                <w:bCs/>
                <w:sz w:val="18"/>
                <w:szCs w:val="18"/>
              </w:rPr>
              <w:t xml:space="preserve">#</w:t>
            </w:r>
          </w:p>
        </w:tc>
        <w:tc>
          <w:tcPr>
            <w:tcW w:type="dxa" w:w="3182"/>
            <w:shd w:fill="E8EDF2" w:val="clear"/>
            <w:tcMar>
              <w:top w:type="dxa" w:w="60"/>
              <w:left w:type="dxa" w:w="90"/>
              <w:bottom w:type="dxa" w:w="60"/>
              <w:right w:type="dxa" w:w="90"/>
            </w:tcMar>
          </w:tcPr>
          <w:p>
            <w:r>
              <w:rPr>
                <w:b/>
                <w:bCs/>
                <w:sz w:val="18"/>
                <w:szCs w:val="18"/>
              </w:rPr>
              <w:t xml:space="preserve">Condition</w:t>
            </w:r>
          </w:p>
        </w:tc>
        <w:tc>
          <w:tcPr>
            <w:tcW w:type="dxa" w:w="936"/>
            <w:shd w:fill="E8EDF2" w:val="clear"/>
            <w:tcMar>
              <w:top w:type="dxa" w:w="60"/>
              <w:left w:type="dxa" w:w="90"/>
              <w:bottom w:type="dxa" w:w="60"/>
              <w:right w:type="dxa" w:w="90"/>
            </w:tcMar>
          </w:tcPr>
          <w:p>
            <w:r>
              <w:rPr>
                <w:b/>
                <w:bCs/>
                <w:sz w:val="18"/>
                <w:szCs w:val="18"/>
              </w:rPr>
              <w:t xml:space="preserve">Verdict</w:t>
            </w:r>
          </w:p>
        </w:tc>
        <w:tc>
          <w:tcPr>
            <w:tcW w:type="dxa" w:w="4680"/>
            <w:shd w:fill="E8EDF2" w:val="clear"/>
            <w:tcMar>
              <w:top w:type="dxa" w:w="60"/>
              <w:left w:type="dxa" w:w="90"/>
              <w:bottom w:type="dxa" w:w="60"/>
              <w:right w:type="dxa" w:w="90"/>
            </w:tcMar>
          </w:tcPr>
          <w:p>
            <w:r>
              <w:rPr>
                <w:b/>
                <w:bCs/>
                <w:sz w:val="18"/>
                <w:szCs w:val="18"/>
              </w:rPr>
              <w:t xml:space="preserve">Evidence</w:t>
            </w:r>
          </w:p>
        </w:tc>
      </w:tr>
      <w:tr>
        <w:tc>
          <w:tcPr>
            <w:tcW w:type="dxa" w:w="562"/>
            <w:tcMar>
              <w:top w:type="dxa" w:w="60"/>
              <w:left w:type="dxa" w:w="90"/>
              <w:bottom w:type="dxa" w:w="60"/>
              <w:right w:type="dxa" w:w="90"/>
            </w:tcMar>
          </w:tcPr>
          <w:p>
            <w:r>
              <w:rPr>
                <w:b w:val="false"/>
                <w:bCs w:val="false"/>
                <w:sz w:val="18"/>
                <w:szCs w:val="18"/>
              </w:rPr>
              <w:t xml:space="preserve">C1</w:t>
            </w:r>
          </w:p>
        </w:tc>
        <w:tc>
          <w:tcPr>
            <w:tcW w:type="dxa" w:w="3182"/>
            <w:tcMar>
              <w:top w:type="dxa" w:w="60"/>
              <w:left w:type="dxa" w:w="90"/>
              <w:bottom w:type="dxa" w:w="60"/>
              <w:right w:type="dxa" w:w="90"/>
            </w:tcMar>
          </w:tcPr>
          <w:p>
            <w:r>
              <w:rPr>
                <w:b w:val="false"/>
                <w:bCs w:val="false"/>
                <w:sz w:val="18"/>
                <w:szCs w:val="18"/>
              </w:rPr>
              <w:t xml:space="preserve">Sign stable across ten seeds; variance smaller than the effect</w:t>
            </w:r>
          </w:p>
        </w:tc>
        <w:tc>
          <w:tcPr>
            <w:tcW w:type="dxa" w:w="936"/>
            <w:tcMar>
              <w:top w:type="dxa" w:w="60"/>
              <w:left w:type="dxa" w:w="90"/>
              <w:bottom w:type="dxa" w:w="60"/>
              <w:right w:type="dxa" w:w="90"/>
            </w:tcMar>
          </w:tcPr>
          <w:p>
            <w:r>
              <w:rPr>
                <w:b w:val="false"/>
                <w:bCs w:val="false"/>
                <w:sz w:val="18"/>
                <w:szCs w:val="18"/>
              </w:rPr>
              <w:t xml:space="preserve">Pass</w:t>
            </w:r>
          </w:p>
        </w:tc>
        <w:tc>
          <w:tcPr>
            <w:tcW w:type="dxa" w:w="4680"/>
            <w:tcMar>
              <w:top w:type="dxa" w:w="60"/>
              <w:left w:type="dxa" w:w="90"/>
              <w:bottom w:type="dxa" w:w="60"/>
              <w:right w:type="dxa" w:w="90"/>
            </w:tcMar>
          </w:tcPr>
          <w:p>
            <w:r>
              <w:rPr>
                <w:b w:val="false"/>
                <w:bCs w:val="false"/>
                <w:sz w:val="18"/>
                <w:szCs w:val="18"/>
              </w:rPr>
              <w:t xml:space="preserve">10 of 10 seeds favour the reference; mean −0.0033, between-seed SD 0.0006</w:t>
            </w:r>
          </w:p>
        </w:tc>
      </w:tr>
      <w:tr>
        <w:tc>
          <w:tcPr>
            <w:tcW w:type="dxa" w:w="562"/>
            <w:tcMar>
              <w:top w:type="dxa" w:w="60"/>
              <w:left w:type="dxa" w:w="90"/>
              <w:bottom w:type="dxa" w:w="60"/>
              <w:right w:type="dxa" w:w="90"/>
            </w:tcMar>
          </w:tcPr>
          <w:p>
            <w:r>
              <w:rPr>
                <w:b w:val="false"/>
                <w:bCs w:val="false"/>
                <w:sz w:val="18"/>
                <w:szCs w:val="18"/>
              </w:rPr>
              <w:t xml:space="preserve">C2</w:t>
            </w:r>
          </w:p>
        </w:tc>
        <w:tc>
          <w:tcPr>
            <w:tcW w:type="dxa" w:w="3182"/>
            <w:tcMar>
              <w:top w:type="dxa" w:w="60"/>
              <w:left w:type="dxa" w:w="90"/>
              <w:bottom w:type="dxa" w:w="60"/>
              <w:right w:type="dxa" w:w="90"/>
            </w:tcMar>
          </w:tcPr>
          <w:p>
            <w:r>
              <w:rPr>
                <w:b w:val="false"/>
                <w:bCs w:val="false"/>
                <w:sz w:val="18"/>
                <w:szCs w:val="18"/>
              </w:rPr>
              <w:t xml:space="preserve">Survives removal of a fold or a cluster</w:t>
            </w:r>
          </w:p>
        </w:tc>
        <w:tc>
          <w:tcPr>
            <w:tcW w:type="dxa" w:w="936"/>
            <w:tcMar>
              <w:top w:type="dxa" w:w="60"/>
              <w:left w:type="dxa" w:w="90"/>
              <w:bottom w:type="dxa" w:w="60"/>
              <w:right w:type="dxa" w:w="90"/>
            </w:tcMar>
          </w:tcPr>
          <w:p>
            <w:r>
              <w:rPr>
                <w:b w:val="false"/>
                <w:bCs w:val="false"/>
                <w:sz w:val="18"/>
                <w:szCs w:val="18"/>
              </w:rPr>
              <w:t xml:space="preserve">Pass</w:t>
            </w:r>
          </w:p>
        </w:tc>
        <w:tc>
          <w:tcPr>
            <w:tcW w:type="dxa" w:w="4680"/>
            <w:tcMar>
              <w:top w:type="dxa" w:w="60"/>
              <w:left w:type="dxa" w:w="90"/>
              <w:bottom w:type="dxa" w:w="60"/>
              <w:right w:type="dxa" w:w="90"/>
            </w:tcMar>
          </w:tcPr>
          <w:p>
            <w:r>
              <w:rPr>
                <w:b w:val="false"/>
                <w:bCs w:val="false"/>
                <w:sz w:val="18"/>
                <w:szCs w:val="18"/>
              </w:rPr>
              <w:t xml:space="preserve">Leave-one-school-out across all four clusters (R7); leave-one-seed-out produces no sign reversal</w:t>
            </w:r>
          </w:p>
        </w:tc>
      </w:tr>
      <w:tr>
        <w:tc>
          <w:tcPr>
            <w:tcW w:type="dxa" w:w="562"/>
            <w:tcMar>
              <w:top w:type="dxa" w:w="60"/>
              <w:left w:type="dxa" w:w="90"/>
              <w:bottom w:type="dxa" w:w="60"/>
              <w:right w:type="dxa" w:w="90"/>
            </w:tcMar>
          </w:tcPr>
          <w:p>
            <w:r>
              <w:rPr>
                <w:b w:val="false"/>
                <w:bCs w:val="false"/>
                <w:sz w:val="18"/>
                <w:szCs w:val="18"/>
              </w:rPr>
              <w:t xml:space="preserve">C3</w:t>
            </w:r>
          </w:p>
        </w:tc>
        <w:tc>
          <w:tcPr>
            <w:tcW w:type="dxa" w:w="3182"/>
            <w:tcMar>
              <w:top w:type="dxa" w:w="60"/>
              <w:left w:type="dxa" w:w="90"/>
              <w:bottom w:type="dxa" w:w="60"/>
              <w:right w:type="dxa" w:w="90"/>
            </w:tcMar>
          </w:tcPr>
          <w:p>
            <w:r>
              <w:rPr>
                <w:b w:val="false"/>
                <w:bCs w:val="false"/>
                <w:sz w:val="18"/>
                <w:szCs w:val="18"/>
              </w:rPr>
              <w:t xml:space="preserve">Minimum detectable effect below the claimed effect, or the result worded as inconclusive</w:t>
            </w:r>
          </w:p>
        </w:tc>
        <w:tc>
          <w:tcPr>
            <w:tcW w:type="dxa" w:w="936"/>
            <w:tcMar>
              <w:top w:type="dxa" w:w="60"/>
              <w:left w:type="dxa" w:w="90"/>
              <w:bottom w:type="dxa" w:w="60"/>
              <w:right w:type="dxa" w:w="90"/>
            </w:tcMar>
          </w:tcPr>
          <w:p>
            <w:r>
              <w:rPr>
                <w:b w:val="false"/>
                <w:bCs w:val="false"/>
                <w:sz w:val="18"/>
                <w:szCs w:val="18"/>
              </w:rPr>
              <w:t xml:space="preserve">Pass</w:t>
            </w:r>
          </w:p>
        </w:tc>
        <w:tc>
          <w:tcPr>
            <w:tcW w:type="dxa" w:w="4680"/>
            <w:tcMar>
              <w:top w:type="dxa" w:w="60"/>
              <w:left w:type="dxa" w:w="90"/>
              <w:bottom w:type="dxa" w:w="60"/>
              <w:right w:type="dxa" w:w="90"/>
            </w:tcMar>
          </w:tcPr>
          <w:p>
            <w:r>
              <w:rPr>
                <w:b w:val="false"/>
                <w:bCs w:val="false"/>
                <w:sz w:val="18"/>
                <w:szCs w:val="18"/>
              </w:rPr>
              <w:t xml:space="preserve">Paired MDE 0.0044 against an observed 0.0033; single-seed detection reported as insufficient and the result established by replication (R3)</w:t>
            </w:r>
          </w:p>
        </w:tc>
      </w:tr>
      <w:tr>
        <w:tc>
          <w:tcPr>
            <w:tcW w:type="dxa" w:w="562"/>
            <w:tcMar>
              <w:top w:type="dxa" w:w="60"/>
              <w:left w:type="dxa" w:w="90"/>
              <w:bottom w:type="dxa" w:w="60"/>
              <w:right w:type="dxa" w:w="90"/>
            </w:tcMar>
          </w:tcPr>
          <w:p>
            <w:r>
              <w:rPr>
                <w:b w:val="false"/>
                <w:bCs w:val="false"/>
                <w:sz w:val="18"/>
                <w:szCs w:val="18"/>
              </w:rPr>
              <w:t xml:space="preserve">C4</w:t>
            </w:r>
          </w:p>
        </w:tc>
        <w:tc>
          <w:tcPr>
            <w:tcW w:type="dxa" w:w="3182"/>
            <w:tcMar>
              <w:top w:type="dxa" w:w="60"/>
              <w:left w:type="dxa" w:w="90"/>
              <w:bottom w:type="dxa" w:w="60"/>
              <w:right w:type="dxa" w:w="90"/>
            </w:tcMar>
          </w:tcPr>
          <w:p>
            <w:r>
              <w:rPr>
                <w:b w:val="false"/>
                <w:bCs w:val="false"/>
                <w:sz w:val="18"/>
                <w:szCs w:val="18"/>
              </w:rPr>
              <w:t xml:space="preserve">Equal tuning budget across arms, and stated</w:t>
            </w:r>
          </w:p>
        </w:tc>
        <w:tc>
          <w:tcPr>
            <w:tcW w:type="dxa" w:w="936"/>
            <w:tcMar>
              <w:top w:type="dxa" w:w="60"/>
              <w:left w:type="dxa" w:w="90"/>
              <w:bottom w:type="dxa" w:w="60"/>
              <w:right w:type="dxa" w:w="90"/>
            </w:tcMar>
          </w:tcPr>
          <w:p>
            <w:r>
              <w:rPr>
                <w:b w:val="false"/>
                <w:bCs w:val="false"/>
                <w:sz w:val="18"/>
                <w:szCs w:val="18"/>
              </w:rPr>
              <w:t xml:space="preserve">Pass</w:t>
            </w:r>
          </w:p>
        </w:tc>
        <w:tc>
          <w:tcPr>
            <w:tcW w:type="dxa" w:w="4680"/>
            <w:tcMar>
              <w:top w:type="dxa" w:w="60"/>
              <w:left w:type="dxa" w:w="90"/>
              <w:bottom w:type="dxa" w:w="60"/>
              <w:right w:type="dxa" w:w="90"/>
            </w:tcMar>
          </w:tcPr>
          <w:p>
            <w:r>
              <w:rPr>
                <w:b w:val="false"/>
                <w:bCs w:val="false"/>
                <w:sz w:val="18"/>
                <w:szCs w:val="18"/>
              </w:rPr>
              <w:t xml:space="preserve">Zero search trials per arm, identical configuration and weighting mechanism; full search history disclosed (M13)</w:t>
            </w:r>
          </w:p>
        </w:tc>
      </w:tr>
      <w:tr>
        <w:tc>
          <w:tcPr>
            <w:tcW w:type="dxa" w:w="562"/>
            <w:tcMar>
              <w:top w:type="dxa" w:w="60"/>
              <w:left w:type="dxa" w:w="90"/>
              <w:bottom w:type="dxa" w:w="60"/>
              <w:right w:type="dxa" w:w="90"/>
            </w:tcMar>
          </w:tcPr>
          <w:p>
            <w:r>
              <w:rPr>
                <w:b w:val="false"/>
                <w:bCs w:val="false"/>
                <w:sz w:val="18"/>
                <w:szCs w:val="18"/>
              </w:rPr>
              <w:t xml:space="preserve">C5</w:t>
            </w:r>
          </w:p>
        </w:tc>
        <w:tc>
          <w:tcPr>
            <w:tcW w:type="dxa" w:w="3182"/>
            <w:tcMar>
              <w:top w:type="dxa" w:w="60"/>
              <w:left w:type="dxa" w:w="90"/>
              <w:bottom w:type="dxa" w:w="60"/>
              <w:right w:type="dxa" w:w="90"/>
            </w:tcMar>
          </w:tcPr>
          <w:p>
            <w:r>
              <w:rPr>
                <w:b w:val="false"/>
                <w:bCs w:val="false"/>
                <w:sz w:val="18"/>
                <w:szCs w:val="18"/>
              </w:rPr>
              <w:t xml:space="preserve">The metric moves with the claimed decision; base rate printed</w:t>
            </w:r>
          </w:p>
        </w:tc>
        <w:tc>
          <w:tcPr>
            <w:tcW w:type="dxa" w:w="936"/>
            <w:tcMar>
              <w:top w:type="dxa" w:w="60"/>
              <w:left w:type="dxa" w:w="90"/>
              <w:bottom w:type="dxa" w:w="60"/>
              <w:right w:type="dxa" w:w="90"/>
            </w:tcMar>
          </w:tcPr>
          <w:p>
            <w:r>
              <w:rPr>
                <w:b w:val="false"/>
                <w:bCs w:val="false"/>
                <w:sz w:val="18"/>
                <w:szCs w:val="18"/>
              </w:rPr>
              <w:t xml:space="preserve">Fail</w:t>
            </w:r>
          </w:p>
        </w:tc>
        <w:tc>
          <w:tcPr>
            <w:tcW w:type="dxa" w:w="4680"/>
            <w:tcMar>
              <w:top w:type="dxa" w:w="60"/>
              <w:left w:type="dxa" w:w="90"/>
              <w:bottom w:type="dxa" w:w="60"/>
              <w:right w:type="dxa" w:w="90"/>
            </w:tcMar>
          </w:tcPr>
          <w:p>
            <w:r>
              <w:rPr>
                <w:b w:val="false"/>
                <w:bCs w:val="false"/>
                <w:sz w:val="18"/>
                <w:szCs w:val="18"/>
              </w:rPr>
              <w:t xml:space="preserve">All nine arms produce an identical confusion matrix on the held-out partition (R8). The ranking metric moves; the decision does not</w:t>
            </w:r>
          </w:p>
        </w:tc>
      </w:tr>
      <w:tr>
        <w:tc>
          <w:tcPr>
            <w:tcW w:type="dxa" w:w="562"/>
            <w:tcMar>
              <w:top w:type="dxa" w:w="60"/>
              <w:left w:type="dxa" w:w="90"/>
              <w:bottom w:type="dxa" w:w="60"/>
              <w:right w:type="dxa" w:w="90"/>
            </w:tcMar>
          </w:tcPr>
          <w:p>
            <w:r>
              <w:rPr>
                <w:b w:val="false"/>
                <w:bCs w:val="false"/>
                <w:sz w:val="18"/>
                <w:szCs w:val="18"/>
              </w:rPr>
              <w:t xml:space="preserve">C6</w:t>
            </w:r>
          </w:p>
        </w:tc>
        <w:tc>
          <w:tcPr>
            <w:tcW w:type="dxa" w:w="3182"/>
            <w:tcMar>
              <w:top w:type="dxa" w:w="60"/>
              <w:left w:type="dxa" w:w="90"/>
              <w:bottom w:type="dxa" w:w="60"/>
              <w:right w:type="dxa" w:w="90"/>
            </w:tcMar>
          </w:tcPr>
          <w:p>
            <w:r>
              <w:rPr>
                <w:b w:val="false"/>
                <w:bCs w:val="false"/>
                <w:sz w:val="18"/>
                <w:szCs w:val="18"/>
              </w:rPr>
              <w:t xml:space="preserve">Test partition scored once, after freeze, committed</w:t>
            </w:r>
          </w:p>
        </w:tc>
        <w:tc>
          <w:tcPr>
            <w:tcW w:type="dxa" w:w="936"/>
            <w:tcMar>
              <w:top w:type="dxa" w:w="60"/>
              <w:left w:type="dxa" w:w="90"/>
              <w:bottom w:type="dxa" w:w="60"/>
              <w:right w:type="dxa" w:w="90"/>
            </w:tcMar>
          </w:tcPr>
          <w:p>
            <w:r>
              <w:rPr>
                <w:b w:val="false"/>
                <w:bCs w:val="false"/>
                <w:sz w:val="18"/>
                <w:szCs w:val="18"/>
              </w:rPr>
              <w:t xml:space="preserve">Pass</w:t>
            </w:r>
          </w:p>
        </w:tc>
        <w:tc>
          <w:tcPr>
            <w:tcW w:type="dxa" w:w="4680"/>
            <w:tcMar>
              <w:top w:type="dxa" w:w="60"/>
              <w:left w:type="dxa" w:w="90"/>
              <w:bottom w:type="dxa" w:w="60"/>
              <w:right w:type="dxa" w:w="90"/>
            </w:tcMar>
          </w:tcPr>
          <w:p>
            <w:r>
              <w:rPr>
                <w:b w:val="false"/>
                <w:bCs w:val="false"/>
                <w:sz w:val="18"/>
                <w:szCs w:val="18"/>
              </w:rPr>
              <w:t xml:space="preserve">Single scoring event recorded at 2026-09-22T23:33:23Z under freeze identifier R02-freeze-2026-09-22-1500</w:t>
            </w:r>
          </w:p>
        </w:tc>
      </w:tr>
    </w:tbl>
    <w:p>
      <w:pPr>
        <w:spacing w:after="140"/>
      </w:pPr>
      <w:r>
        <w:rPr>
          <w:sz w:val="22"/>
          <w:szCs w:val="22"/>
        </w:rPr>
        <w:t xml:space="preserve">Five of six conditions are met. The failure of C5 is a property of the testbed rather than of the analysis, and it is the finding of greatest consequence for how the primary result should be read: at an AUC-PR of 0.98 on 17 held-out dropout cases, no difference in ranking quality among the arms alters a single decision. The present study therefore establishes that focal loss confers a small and reliable ranking disadvantage on this dataset, and that no arm of the comparison would produce a different operational outcome.</w:t>
      </w:r>
    </w:p>
    <w:p>
      <w:pPr>
        <w:spacing w:after="140"/>
      </w:pPr>
      <w:r>
        <w:rPr>
          <w:sz w:val="22"/>
          <w:szCs w:val="22"/>
        </w:rPr>
        <w:t xml:space="preserve">This assessment supersedes the previous revision's, which recorded five of six conditions as met on the basis of stated intent rather than committed evidence, and which an independent re-assessment scored at one of six.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2026-09-22T23:53:43.208Z</dcterms:created>
  <dcterms:modified xsi:type="dcterms:W3CDTF">2026-09-22T23:53:43.208Z</dcterms:modified>
</cp:coreProperties>
</file>

<file path=docProps/custom.xml><?xml version="1.0" encoding="utf-8"?>
<Properties xmlns="http://schemas.openxmlformats.org/officeDocument/2006/custom-properties" xmlns:vt="http://schemas.openxmlformats.org/officeDocument/2006/docPropsVTypes"/>
</file>