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999E8" w14:textId="7CACDFE3" w:rsidR="00213B5E" w:rsidRDefault="00000000">
      <w:pPr>
        <w:spacing w:after="120"/>
        <w:jc w:val="center"/>
      </w:pPr>
      <w:r>
        <w:rPr>
          <w:b/>
          <w:bCs/>
          <w:color w:val="2E4057"/>
          <w:sz w:val="32"/>
          <w:szCs w:val="32"/>
        </w:rPr>
        <w:t xml:space="preserve">ML MODEL ENGINEERING PLAN </w:t>
      </w:r>
    </w:p>
    <w:p w14:paraId="11B21BD2" w14:textId="77777777" w:rsidR="00213B5E" w:rsidRDefault="00000000">
      <w:pPr>
        <w:spacing w:after="60"/>
        <w:jc w:val="center"/>
      </w:pPr>
      <w:r>
        <w:t>CAN-DO Research Lab, KNUST | Department of Computer Science</w:t>
      </w:r>
    </w:p>
    <w:p w14:paraId="78E20627" w14:textId="77777777" w:rsidR="00213B5E" w:rsidRDefault="00000000">
      <w:pPr>
        <w:spacing w:after="240"/>
        <w:jc w:val="center"/>
      </w:pPr>
      <w:r>
        <w:rPr>
          <w:i/>
          <w:iCs/>
        </w:rPr>
        <w:t>Supervised by Dr Eric Opoku Osei</w:t>
      </w:r>
    </w:p>
    <w:p w14:paraId="7B70044B" w14:textId="73EF7794" w:rsidR="00213B5E" w:rsidRDefault="00000000" w:rsidP="004B265B">
      <w:pPr>
        <w:spacing w:before="280" w:after="100"/>
      </w:pPr>
      <w:r>
        <w:rPr>
          <w:b/>
          <w:bCs/>
          <w:color w:val="2E4057"/>
          <w:sz w:val="26"/>
          <w:szCs w:val="26"/>
        </w:rPr>
        <w:t>HEADER BLOCK</w:t>
      </w:r>
    </w:p>
    <w:p w14:paraId="13619FFE" w14:textId="77777777" w:rsidR="00213B5E" w:rsidRDefault="00213B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13B5E" w14:paraId="0B985F6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34398BC" w14:textId="77777777" w:rsidR="00213B5E" w:rsidRDefault="00000000">
            <w:r>
              <w:rPr>
                <w:b/>
                <w:bCs/>
                <w:color w:val="FFFFFF"/>
              </w:rPr>
              <w:t>Student Names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72661" w14:textId="77777777" w:rsidR="00213B5E" w:rsidRDefault="00000000">
            <w:r>
              <w:t>Oheneba Kwaku Tawiah Ntim, Victoria Teye, Kyei Christian Junior, Jude Ahiekpor Kekeli Yao, Evangelina Temple</w:t>
            </w:r>
          </w:p>
        </w:tc>
      </w:tr>
      <w:tr w:rsidR="00213B5E" w14:paraId="3E79D83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F900E16" w14:textId="77777777" w:rsidR="00213B5E" w:rsidRDefault="00000000">
            <w:r>
              <w:rPr>
                <w:b/>
                <w:bCs/>
                <w:color w:val="FFFFFF"/>
              </w:rPr>
              <w:t>Index Numbers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959E2" w14:textId="77777777" w:rsidR="00213B5E" w:rsidRDefault="00000000">
            <w:r>
              <w:t>3403022, 3416022, 3397722, 3366522, 3415522</w:t>
            </w:r>
          </w:p>
        </w:tc>
      </w:tr>
      <w:tr w:rsidR="00213B5E" w14:paraId="4D72358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367A644" w14:textId="77777777" w:rsidR="00213B5E" w:rsidRDefault="00000000">
            <w:r>
              <w:rPr>
                <w:b/>
                <w:bCs/>
                <w:color w:val="FFFFFF"/>
              </w:rPr>
              <w:t>Thesis 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27012" w14:textId="77777777" w:rsidR="00213B5E" w:rsidRDefault="00000000">
            <w:r>
              <w:t>A Fair, Explainable E-LightGBM Framework for Predicting Student Dropout in Ghanaian Basic Schools: A Focal Loss Engineering Approach with CTGAN Augmentation and SHAP Interpretability</w:t>
            </w:r>
          </w:p>
        </w:tc>
      </w:tr>
      <w:tr w:rsidR="00213B5E" w14:paraId="3C66AF0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7D92AE" w14:textId="77777777" w:rsidR="00213B5E" w:rsidRDefault="00000000">
            <w:r>
              <w:rPr>
                <w:b/>
                <w:bCs/>
                <w:color w:val="FFFFFF"/>
              </w:rPr>
              <w:t>Submission Date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0EDFC" w14:textId="77777777" w:rsidR="00213B5E" w:rsidRDefault="00000000">
            <w:r>
              <w:t>[Insert date before submitting]</w:t>
            </w:r>
          </w:p>
        </w:tc>
      </w:tr>
    </w:tbl>
    <w:p w14:paraId="4A56124F" w14:textId="77777777" w:rsidR="00213B5E" w:rsidRDefault="00213B5E">
      <w:pPr>
        <w:spacing w:before="60" w:after="60"/>
      </w:pPr>
    </w:p>
    <w:p w14:paraId="7FDE985B" w14:textId="44CB6406" w:rsidR="00213B5E" w:rsidRDefault="00000000" w:rsidP="004B265B">
      <w:pPr>
        <w:spacing w:before="280" w:after="100"/>
      </w:pPr>
      <w:r>
        <w:rPr>
          <w:b/>
          <w:bCs/>
          <w:color w:val="2E4057"/>
          <w:sz w:val="26"/>
          <w:szCs w:val="26"/>
        </w:rPr>
        <w:t>RESEARCH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13B5E" w14:paraId="3F6EC7D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87E5E7" w14:textId="77777777" w:rsidR="00213B5E" w:rsidRDefault="00000000">
            <w:r>
              <w:rPr>
                <w:b/>
                <w:bCs/>
              </w:rPr>
              <w:t>Objective 1</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B98BA" w14:textId="40ECA2AE" w:rsidR="00213B5E" w:rsidRDefault="00000000">
            <w:r>
              <w:t xml:space="preserve">To fabricate a custom focal loss objective function and integrate it into the LightGBM training pipeline, replacing the default binary cross-entropy loss, </w:t>
            </w:r>
            <w:r w:rsidR="004B265B">
              <w:t>to</w:t>
            </w:r>
            <w:r>
              <w:t xml:space="preserve"> construct an Enhanced LightGBM model (E-LightGBM) that directs gradient learning toward hard-to-classify minority-class dropout pupils under severe class imbalance.</w:t>
            </w:r>
          </w:p>
        </w:tc>
      </w:tr>
      <w:tr w:rsidR="00213B5E" w14:paraId="7F0B1A1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F4C298" w14:textId="77777777" w:rsidR="00213B5E" w:rsidRDefault="00000000">
            <w:r>
              <w:rPr>
                <w:b/>
                <w:bCs/>
              </w:rPr>
              <w:t>Objective 2</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A0C00" w14:textId="2549A3D1" w:rsidR="00213B5E" w:rsidRDefault="00000000">
            <w:r>
              <w:t xml:space="preserve">To evaluate the E-LightGBM model using primary institutional administrative records and structured questionnaire data collected from pupils at </w:t>
            </w:r>
            <w:r w:rsidR="004B265B">
              <w:t>some</w:t>
            </w:r>
            <w:r>
              <w:t xml:space="preserve"> basic schools </w:t>
            </w:r>
            <w:r w:rsidR="004B265B">
              <w:t>in the</w:t>
            </w:r>
            <w:r>
              <w:t xml:space="preserve"> Ashanti </w:t>
            </w:r>
            <w:r w:rsidR="004B265B">
              <w:t>Region, specifically</w:t>
            </w:r>
            <w:r>
              <w:t xml:space="preserve"> Kumasi Metro Districts of Ghana.</w:t>
            </w:r>
          </w:p>
        </w:tc>
      </w:tr>
      <w:tr w:rsidR="00213B5E" w14:paraId="435E55C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F5BAA0" w14:textId="77777777" w:rsidR="00213B5E" w:rsidRDefault="00000000">
            <w:r>
              <w:rPr>
                <w:b/>
                <w:bCs/>
              </w:rPr>
              <w:t>Objective 3</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58223" w14:textId="77777777" w:rsidR="00213B5E" w:rsidRDefault="00000000">
            <w:r>
              <w:t>To assess the predictive performance, fairness, and interpretability of E-LightGBM against a standard LightGBM baseline using Accuracy, Macro F1-Score, AUC-ROC, AUC-PR, and SHAP TreeExplainer feature attribution, and to evaluate equitable prediction performance across gender and geographic zone subgroups using Equal Opportunity and Equalized Odds fairness metrics.</w:t>
            </w:r>
          </w:p>
        </w:tc>
      </w:tr>
    </w:tbl>
    <w:p w14:paraId="150D7DB3" w14:textId="77777777" w:rsidR="00213B5E" w:rsidRDefault="00213B5E">
      <w:pPr>
        <w:spacing w:before="60" w:after="60"/>
      </w:pPr>
    </w:p>
    <w:p w14:paraId="419BFDAA" w14:textId="77777777" w:rsidR="00213B5E" w:rsidRDefault="00000000">
      <w:pPr>
        <w:spacing w:before="280" w:after="100"/>
      </w:pPr>
      <w:r>
        <w:rPr>
          <w:b/>
          <w:bCs/>
          <w:color w:val="2E4057"/>
          <w:sz w:val="26"/>
          <w:szCs w:val="26"/>
        </w:rPr>
        <w:t>SECTION 1: MODEL AND TASK</w:t>
      </w:r>
    </w:p>
    <w:p w14:paraId="1951037F" w14:textId="2CF0138A" w:rsidR="00213B5E" w:rsidRDefault="00000000">
      <w:pPr>
        <w:spacing w:before="80" w:after="80"/>
      </w:pPr>
      <w:r>
        <w:t xml:space="preserve">The selected model is LightGBM (Light Gradient Boosting Machine; Ke et al., 2017), applied to a binary classification task predicting whether a Ghanaian basic school pupil will drop out of school (label = 1) or remain enrolled (label = 0). The dataset comprises primary institutional administrative records and structured questionnaire responses collected from 788 </w:t>
      </w:r>
      <w:r w:rsidR="00617F6E">
        <w:t>from pupils at some basic schools in the Ashanti Region, specifically Kumasi Metro Districts</w:t>
      </w:r>
      <w:r>
        <w:t xml:space="preserve"> of Ghana, covering Primary 4 through Junior High School Form 2 levels.</w:t>
      </w:r>
    </w:p>
    <w:p w14:paraId="53FFE771" w14:textId="77777777" w:rsidR="00213B5E" w:rsidRDefault="00213B5E">
      <w:pPr>
        <w:spacing w:before="60" w:after="60"/>
      </w:pPr>
    </w:p>
    <w:p w14:paraId="1B5EBEC2" w14:textId="77777777" w:rsidR="00213B5E" w:rsidRDefault="00000000">
      <w:pPr>
        <w:spacing w:before="80" w:after="80"/>
      </w:pPr>
      <w:r>
        <w:t xml:space="preserve">LightGBM was selected because it achieves strong performance on heterogeneous tabular educational data, supports fully custom training objectives via its obj parameter, and is natively compatible with SHAP TreeExplainer for per-pupil prediction explanation — a requirement for the human-centred AI dimension of this study. Its regularised leaf-wise boosting framework and built-in support for custom </w:t>
      </w:r>
      <w:r>
        <w:lastRenderedPageBreak/>
        <w:t>gradient and Hessian functions make it well suited to the severely imbalanced dropout prediction task, where the observed dropout rate across the study schools is approximately 7–10%.</w:t>
      </w:r>
    </w:p>
    <w:p w14:paraId="1CC8D0C0" w14:textId="77777777" w:rsidR="00213B5E" w:rsidRDefault="00213B5E">
      <w:pPr>
        <w:spacing w:before="60" w:after="60"/>
      </w:pPr>
    </w:p>
    <w:p w14:paraId="5EFD1909" w14:textId="77777777" w:rsidR="00213B5E" w:rsidRDefault="00000000">
      <w:pPr>
        <w:spacing w:before="280" w:after="100"/>
      </w:pPr>
      <w:r>
        <w:rPr>
          <w:b/>
          <w:bCs/>
          <w:color w:val="2E4057"/>
          <w:sz w:val="26"/>
          <w:szCs w:val="26"/>
        </w:rPr>
        <w:t>SECTION 2: BASELINE DIAGNOSTIC</w:t>
      </w:r>
    </w:p>
    <w:p w14:paraId="229FE458" w14:textId="77777777" w:rsidR="00213B5E" w:rsidRDefault="00000000">
      <w:pPr>
        <w:spacing w:before="80" w:after="80"/>
      </w:pPr>
      <w:r>
        <w:t>The standard LightGBM baseline, trained with the default binary cross-entropy loss and the is_unbalance=True flag, was found empirically to achieve high overall accuracy on the Ghanaian basic school dataset but substantially depressed minority-class recall — the metric most critical for an early warning system, where failing to identify an at-risk pupil has greater real-world cost than a false alarm. This weakness was identified through an empirical baseline run on the study dataset using 5-fold stratified cross-validation, where the model consistently predicted the majority retained class at high rates while missing a disproportionate fraction of true dropout cases.</w:t>
      </w:r>
    </w:p>
    <w:p w14:paraId="6B07D484" w14:textId="77777777" w:rsidR="00213B5E" w:rsidRDefault="00213B5E">
      <w:pPr>
        <w:spacing w:before="60" w:after="60"/>
      </w:pPr>
    </w:p>
    <w:p w14:paraId="2670AFE9" w14:textId="77777777" w:rsidR="00213B5E" w:rsidRDefault="00000000">
      <w:pPr>
        <w:spacing w:before="80" w:after="80"/>
      </w:pPr>
      <w:r>
        <w:t>The specific measurable weakness is low AUC-PR and low minority-class recall, both of which reveal that the default binary cross-entropy loss assigns equal gradient weight to every misclassification regardless of prediction confidence or class membership, providing insufficient learning signal for the rare and difficult dropout examples. This is a documented limitation of cross-entropy-based losses under severe class imbalance, established empirically in our baseline results and supported by Lin et al. (2017).</w:t>
      </w:r>
    </w:p>
    <w:p w14:paraId="4C193D1C" w14:textId="77777777" w:rsidR="00213B5E" w:rsidRDefault="00213B5E">
      <w:pPr>
        <w:spacing w:before="60" w:after="60"/>
      </w:pPr>
    </w:p>
    <w:p w14:paraId="7F4A2F3D" w14:textId="77777777" w:rsidR="00213B5E" w:rsidRDefault="00000000">
      <w:pPr>
        <w:spacing w:before="280" w:after="100"/>
      </w:pPr>
      <w:r>
        <w:rPr>
          <w:b/>
          <w:bCs/>
          <w:color w:val="2E4057"/>
          <w:sz w:val="26"/>
          <w:szCs w:val="26"/>
        </w:rPr>
        <w:t>SECTION 3: ENGINEERING INTERVENTION</w:t>
      </w:r>
    </w:p>
    <w:p w14:paraId="5C032FB8" w14:textId="6E7DBBBE" w:rsidR="00213B5E" w:rsidRDefault="00213B5E">
      <w:pPr>
        <w:spacing w:after="80"/>
      </w:pPr>
    </w:p>
    <w:p w14:paraId="014A89BA" w14:textId="7BCFEA75" w:rsidR="00213B5E" w:rsidRDefault="00000000">
      <w:pPr>
        <w:spacing w:before="80" w:after="80"/>
      </w:pPr>
      <w:r>
        <w:t xml:space="preserve">The exact component being modified is the training objective of the LightGBM model — specifically the obj parameter, which defines the custom gradient and Hessian supplied to the boosting algorithm at each iteration. The modification replaces LightGBM's default </w:t>
      </w:r>
      <w:r w:rsidR="00617F6E">
        <w:t>binary: logistic</w:t>
      </w:r>
      <w:r>
        <w:t xml:space="preserve"> loss with a fabricated focal loss function, producing the Enhanced LightGBM model designated E-LightGBM.</w:t>
      </w:r>
    </w:p>
    <w:p w14:paraId="23925CEB" w14:textId="77777777" w:rsidR="00213B5E" w:rsidRDefault="00213B5E">
      <w:pPr>
        <w:spacing w:before="60" w:after="60"/>
      </w:pPr>
    </w:p>
    <w:p w14:paraId="41036DA0" w14:textId="19D6B7F3" w:rsidR="00213B5E" w:rsidRDefault="00000000">
      <w:pPr>
        <w:spacing w:before="80" w:after="80"/>
      </w:pPr>
      <w:r>
        <w:t xml:space="preserve">The focal loss is </w:t>
      </w:r>
      <w:r w:rsidR="00617F6E">
        <w:t>parameterized</w:t>
      </w:r>
      <w:r>
        <w:t xml:space="preserve"> by a focusing exponent γ (gamma = 2.0), which </w:t>
      </w:r>
      <w:r w:rsidR="00617F6E">
        <w:t>downweighs</w:t>
      </w:r>
      <w:r>
        <w:t xml:space="preserve"> the gradient contribution of confident, correctly classified examples and concentrates boosting capacity on hard borderline cases, and a class-weighting scalar α (alpha = 0.75), which assigns a higher gradient penalty to misclassified minority-class dropout examples. The gradient and Hessian are derived analytically from the focal loss and passed directly to LightGBM as a custom objective:</w:t>
      </w:r>
    </w:p>
    <w:p w14:paraId="3B9178B1" w14:textId="77777777" w:rsidR="00213B5E" w:rsidRDefault="00213B5E">
      <w:pPr>
        <w:spacing w:before="60" w:after="60"/>
      </w:pPr>
    </w:p>
    <w:p w14:paraId="56CFED20" w14:textId="77777777" w:rsidR="00213B5E" w:rsidRDefault="00000000">
      <w:pPr>
        <w:spacing w:before="80" w:after="80"/>
        <w:ind w:left="720"/>
      </w:pPr>
      <w:r>
        <w:rPr>
          <w:rFonts w:ascii="Courier New" w:eastAsia="Courier New" w:hAnsi="Courier New" w:cs="Courier New"/>
          <w:color w:val="1F3864"/>
          <w:sz w:val="18"/>
          <w:szCs w:val="18"/>
        </w:rPr>
        <w:t>def focal_loss_lgb(y_pred, dtrain):     y_true  = dtrain.get_label()     p       = 1.0 / (1.0 + np.exp(-y_pred))     pt      = np.where(y_true == 1, p, 1.0 - p)     alpha_t = np.where(y_true == 1, ALPHA, 1.0 - ALPHA)     grad    = alpha_t * (1.0 - pt) ** GAMMA * (p - y_true)     hess    = alpha_t * (1.0 - pt) ** GAMMA * p * (1.0 - p)     return grad, hess</w:t>
      </w:r>
    </w:p>
    <w:p w14:paraId="01C8C1C4" w14:textId="77777777" w:rsidR="00213B5E" w:rsidRDefault="00213B5E">
      <w:pPr>
        <w:spacing w:before="60" w:after="60"/>
      </w:pPr>
    </w:p>
    <w:p w14:paraId="0DBE2737" w14:textId="282DF81B" w:rsidR="00213B5E" w:rsidRDefault="00000000">
      <w:pPr>
        <w:spacing w:before="80" w:after="80"/>
      </w:pPr>
      <w:r>
        <w:t xml:space="preserve">Prior to training, domain-informed feature construction was performed as a diagnostic step directly connected to the model's training </w:t>
      </w:r>
      <w:r w:rsidR="00617F6E">
        <w:t>behavior</w:t>
      </w:r>
      <w:r>
        <w:t xml:space="preserve">: composite indicators were derived from raw institutional records — including a weighted attendance risk index combining three-term attendance rates, a socioeconomic vulnerability score aggregating LEAP beneficiary status, school feeding participation, and family income level, and a </w:t>
      </w:r>
      <w:r w:rsidR="00617F6E">
        <w:t>behavioral</w:t>
      </w:r>
      <w:r>
        <w:t xml:space="preserve"> engagement index combining </w:t>
      </w:r>
      <w:r w:rsidR="00617F6E">
        <w:t>behavior</w:t>
      </w:r>
      <w:r>
        <w:t xml:space="preserve"> warnings, class participation, and extracurricular involvement. These engineered features were constructed to enrich the feature space entering the focal loss training loop, ensuring the gradient concentration mechanism had access to latent pupil-level risk signals not directly observable in raw register columns; a subsequent SHAP attribution run confirmed these composite features ranked among the top predictors, validating the joint contribution of feature space design and loss function modification.</w:t>
      </w:r>
    </w:p>
    <w:p w14:paraId="52F32680" w14:textId="77777777" w:rsidR="00213B5E" w:rsidRDefault="00213B5E">
      <w:pPr>
        <w:spacing w:before="60" w:after="60"/>
      </w:pPr>
    </w:p>
    <w:p w14:paraId="5518CBD9" w14:textId="77777777" w:rsidR="00213B5E" w:rsidRDefault="00000000">
      <w:pPr>
        <w:spacing w:before="80" w:after="80"/>
      </w:pPr>
      <w:r>
        <w:t>All other hyperparameters — num_leaves, learning_rate, n_estimators, subsample, colsample_bytree, and regularisation terms — are held constant between the baseline and E-LightGBM to ensure that any observed performance difference is attributable solely to the loss function substitution and feature space enrichment. Improvement will be measured by comparing E-LightGBM against the standard LightGBM baseline on AUC-ROC, AUC-PR, Macro F1-Score, minority-class Recall, and Precision across 5-fold stratified cross-validation, with statistical significance assessed using the Wilcoxon signed-rank test (α = 0.05).</w:t>
      </w:r>
    </w:p>
    <w:p w14:paraId="33512B62" w14:textId="77777777" w:rsidR="00213B5E" w:rsidRDefault="00213B5E">
      <w:pPr>
        <w:spacing w:before="60" w:after="60"/>
      </w:pPr>
    </w:p>
    <w:p w14:paraId="4BFA297D" w14:textId="77777777" w:rsidR="00213B5E" w:rsidRDefault="00000000">
      <w:pPr>
        <w:spacing w:before="280" w:after="100"/>
      </w:pPr>
      <w:r>
        <w:rPr>
          <w:b/>
          <w:bCs/>
          <w:color w:val="2E4057"/>
          <w:sz w:val="26"/>
          <w:szCs w:val="26"/>
        </w:rPr>
        <w:t>SECTION 4: DATASET JUSTIFICATION</w:t>
      </w:r>
    </w:p>
    <w:p w14:paraId="16428512" w14:textId="52B0C646" w:rsidR="00213B5E" w:rsidRDefault="00000000">
      <w:pPr>
        <w:spacing w:before="80" w:after="80"/>
      </w:pPr>
      <w:r>
        <w:t xml:space="preserve">The primary data source is original field-collected institutional data from </w:t>
      </w:r>
      <w:r w:rsidR="00250A31">
        <w:t>pupils at some basic schools in the Ashanti Region, specifically Kumasi Metro Districts</w:t>
      </w:r>
      <w:r w:rsidR="00250A31">
        <w:t xml:space="preserve"> </w:t>
      </w:r>
      <w:r>
        <w:t>Districts of Ghana, comprising pupil-level administrative records (attendance per term, termly examination scores, grade repetition count, school feeding and LEAP beneficiary status) and structured questionnaire responses capturing household, travel, parental engagement, and behavioural characteristics. No public or pre-existing dataset was used as a primary source; all 788 records were collected directly from school registers and headteacher-administered instruments by the research team.</w:t>
      </w:r>
    </w:p>
    <w:p w14:paraId="10F7B0A6" w14:textId="77777777" w:rsidR="00213B5E" w:rsidRDefault="00213B5E">
      <w:pPr>
        <w:spacing w:before="60" w:after="60"/>
      </w:pPr>
    </w:p>
    <w:p w14:paraId="0940911F" w14:textId="77777777" w:rsidR="00213B5E" w:rsidRDefault="00000000">
      <w:pPr>
        <w:spacing w:before="80" w:after="80"/>
      </w:pPr>
      <w:r>
        <w:t>Synthetic data generated using CTGAN (via SDV 1.17.4) was applied only to the minority dropout class within the training split after the train/test division, solely to address class imbalance, and was validated using Train-on-Synthetic-Test-on-Real (TSTR) evaluation, Nearest Neighbour Adversarial Accuracy (NNAA) privacy audit, and domain expert plausibility review — consistent with internationally recognised standards for synthetic augmentation in educational ML research (Jordon et al., 2022).</w:t>
      </w:r>
    </w:p>
    <w:p w14:paraId="0D0C0A50" w14:textId="77777777" w:rsidR="00213B5E" w:rsidRDefault="00213B5E">
      <w:pPr>
        <w:spacing w:before="60" w:after="60"/>
      </w:pPr>
    </w:p>
    <w:p w14:paraId="21F44D72" w14:textId="77777777" w:rsidR="00213B5E" w:rsidRDefault="00000000">
      <w:pPr>
        <w:spacing w:before="280" w:after="100"/>
      </w:pPr>
      <w:r>
        <w:rPr>
          <w:b/>
          <w:bCs/>
          <w:color w:val="2E4057"/>
          <w:sz w:val="26"/>
          <w:szCs w:val="26"/>
        </w:rPr>
        <w:t>SECTION 5: FORWARD PATHWAY</w:t>
      </w:r>
    </w:p>
    <w:p w14:paraId="5BDB1CA9" w14:textId="77777777" w:rsidR="00213B5E" w:rsidRDefault="00000000">
      <w:pPr>
        <w:spacing w:before="80" w:after="80"/>
      </w:pPr>
      <w:r>
        <w:t>The current focal loss engineering intervention addresses gradient-level class imbalance during training but does not resolve the cross-sectional limitation of the dataset — each pupil record represents a single academic year snapshot, meaning the model cannot capture the longitudinal trajectory of a pupil's declining engagement across multiple terms before dropout occurs. A next iteration would target this limitation by incorporating temporal sequence modelling, specifically applying a Temporal Convolutional Network (TCN) or LSTM layer over multi-year pupil records where available, with the focal loss objective retained at the sequence classification head to preserve the minority-class sensitivity achieved in this study.</w:t>
      </w:r>
    </w:p>
    <w:p w14:paraId="27F10D17" w14:textId="77777777" w:rsidR="00213B5E" w:rsidRDefault="00213B5E">
      <w:pPr>
        <w:spacing w:before="60" w:after="60"/>
      </w:pPr>
    </w:p>
    <w:sectPr w:rsidR="00213B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612B6"/>
    <w:multiLevelType w:val="hybridMultilevel"/>
    <w:tmpl w:val="00F04888"/>
    <w:lvl w:ilvl="0" w:tplc="12BE8664">
      <w:start w:val="1"/>
      <w:numFmt w:val="bullet"/>
      <w:lvlText w:val="●"/>
      <w:lvlJc w:val="left"/>
      <w:pPr>
        <w:ind w:left="720" w:hanging="360"/>
      </w:pPr>
    </w:lvl>
    <w:lvl w:ilvl="1" w:tplc="483A3A12">
      <w:start w:val="1"/>
      <w:numFmt w:val="bullet"/>
      <w:lvlText w:val="○"/>
      <w:lvlJc w:val="left"/>
      <w:pPr>
        <w:ind w:left="1440" w:hanging="360"/>
      </w:pPr>
    </w:lvl>
    <w:lvl w:ilvl="2" w:tplc="26AE2EDA">
      <w:start w:val="1"/>
      <w:numFmt w:val="bullet"/>
      <w:lvlText w:val="■"/>
      <w:lvlJc w:val="left"/>
      <w:pPr>
        <w:ind w:left="2160" w:hanging="360"/>
      </w:pPr>
    </w:lvl>
    <w:lvl w:ilvl="3" w:tplc="DC2894D8">
      <w:start w:val="1"/>
      <w:numFmt w:val="bullet"/>
      <w:lvlText w:val="●"/>
      <w:lvlJc w:val="left"/>
      <w:pPr>
        <w:ind w:left="2880" w:hanging="360"/>
      </w:pPr>
    </w:lvl>
    <w:lvl w:ilvl="4" w:tplc="AB1A96B8">
      <w:start w:val="1"/>
      <w:numFmt w:val="bullet"/>
      <w:lvlText w:val="○"/>
      <w:lvlJc w:val="left"/>
      <w:pPr>
        <w:ind w:left="3600" w:hanging="360"/>
      </w:pPr>
    </w:lvl>
    <w:lvl w:ilvl="5" w:tplc="76E00E56">
      <w:start w:val="1"/>
      <w:numFmt w:val="bullet"/>
      <w:lvlText w:val="■"/>
      <w:lvlJc w:val="left"/>
      <w:pPr>
        <w:ind w:left="4320" w:hanging="360"/>
      </w:pPr>
    </w:lvl>
    <w:lvl w:ilvl="6" w:tplc="5770FBBA">
      <w:start w:val="1"/>
      <w:numFmt w:val="bullet"/>
      <w:lvlText w:val="●"/>
      <w:lvlJc w:val="left"/>
      <w:pPr>
        <w:ind w:left="5040" w:hanging="360"/>
      </w:pPr>
    </w:lvl>
    <w:lvl w:ilvl="7" w:tplc="BF8AB25E">
      <w:start w:val="1"/>
      <w:numFmt w:val="bullet"/>
      <w:lvlText w:val="●"/>
      <w:lvlJc w:val="left"/>
      <w:pPr>
        <w:ind w:left="5760" w:hanging="360"/>
      </w:pPr>
    </w:lvl>
    <w:lvl w:ilvl="8" w:tplc="5434DF2A">
      <w:start w:val="1"/>
      <w:numFmt w:val="bullet"/>
      <w:lvlText w:val="●"/>
      <w:lvlJc w:val="left"/>
      <w:pPr>
        <w:ind w:left="6480" w:hanging="360"/>
      </w:pPr>
    </w:lvl>
  </w:abstractNum>
  <w:abstractNum w:abstractNumId="1" w15:restartNumberingAfterBreak="0">
    <w:nsid w:val="4E403AA2"/>
    <w:multiLevelType w:val="hybridMultilevel"/>
    <w:tmpl w:val="40F66924"/>
    <w:lvl w:ilvl="0" w:tplc="25323C9E">
      <w:start w:val="1"/>
      <w:numFmt w:val="bullet"/>
      <w:lvlText w:val="•"/>
      <w:lvlJc w:val="left"/>
      <w:pPr>
        <w:ind w:left="720" w:hanging="360"/>
      </w:pPr>
    </w:lvl>
    <w:lvl w:ilvl="1" w:tplc="F9C235D0">
      <w:numFmt w:val="decimal"/>
      <w:lvlText w:val=""/>
      <w:lvlJc w:val="left"/>
    </w:lvl>
    <w:lvl w:ilvl="2" w:tplc="F4F27004">
      <w:numFmt w:val="decimal"/>
      <w:lvlText w:val=""/>
      <w:lvlJc w:val="left"/>
    </w:lvl>
    <w:lvl w:ilvl="3" w:tplc="D2D283E4">
      <w:numFmt w:val="decimal"/>
      <w:lvlText w:val=""/>
      <w:lvlJc w:val="left"/>
    </w:lvl>
    <w:lvl w:ilvl="4" w:tplc="369424DC">
      <w:numFmt w:val="decimal"/>
      <w:lvlText w:val=""/>
      <w:lvlJc w:val="left"/>
    </w:lvl>
    <w:lvl w:ilvl="5" w:tplc="80DE3B46">
      <w:numFmt w:val="decimal"/>
      <w:lvlText w:val=""/>
      <w:lvlJc w:val="left"/>
    </w:lvl>
    <w:lvl w:ilvl="6" w:tplc="5C7425F6">
      <w:numFmt w:val="decimal"/>
      <w:lvlText w:val=""/>
      <w:lvlJc w:val="left"/>
    </w:lvl>
    <w:lvl w:ilvl="7" w:tplc="B094A83C">
      <w:numFmt w:val="decimal"/>
      <w:lvlText w:val=""/>
      <w:lvlJc w:val="left"/>
    </w:lvl>
    <w:lvl w:ilvl="8" w:tplc="7514FD90">
      <w:numFmt w:val="decimal"/>
      <w:lvlText w:val=""/>
      <w:lvlJc w:val="left"/>
    </w:lvl>
  </w:abstractNum>
  <w:num w:numId="1" w16cid:durableId="1472361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B5E"/>
    <w:rsid w:val="00213B5E"/>
    <w:rsid w:val="00250A31"/>
    <w:rsid w:val="004B265B"/>
    <w:rsid w:val="005E4F18"/>
    <w:rsid w:val="00617F6E"/>
    <w:rsid w:val="00751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2682"/>
  <w15:docId w15:val="{44FDD251-7393-4F96-BF48-1A5167A0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Oheneba Ntim</cp:lastModifiedBy>
  <cp:revision>5</cp:revision>
  <dcterms:created xsi:type="dcterms:W3CDTF">2026-06-29T16:03:00Z</dcterms:created>
  <dcterms:modified xsi:type="dcterms:W3CDTF">2026-06-29T16:13:00Z</dcterms:modified>
</cp:coreProperties>
</file>