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Times New Roman" w:cs="Times New Roman" w:eastAsia="Times New Roman" w:hAnsi="Times New Roman"/>
          <w:b/>
          <w:bCs/>
          <w:color w:val="000000"/>
          <w:sz w:val="32"/>
          <w:szCs w:val="32"/>
        </w:rPr>
        <w:t xml:space="preserve">Predicting Student Dropout in Ghanaian Basic Schools Using a Fair, Explainable LightGBM-SHAP Ensemble</w:t>
      </w:r>
    </w:p>
    <w:p>
      <w:pPr>
        <w:spacing w:before="0" w:after="80"/>
        <w:jc w:val="center"/>
      </w:pPr>
      <w:r>
        <w:rPr>
          <w:rFonts w:ascii="Times New Roman" w:cs="Times New Roman" w:eastAsia="Times New Roman" w:hAnsi="Times New Roman"/>
          <w:color w:val="000000"/>
          <w:sz w:val="24"/>
          <w:szCs w:val="24"/>
        </w:rPr>
        <w:t xml:space="preserve">Oheneba Kwaku Tawiah Ntim, Kyei Christian Junior, Evangelina Temple, Jude Ahiekpor Kekeli Yao, Victoria Teye</w:t>
      </w:r>
    </w:p>
    <w:p>
      <w:pPr>
        <w:spacing w:before="0" w:after="80"/>
        <w:jc w:val="center"/>
      </w:pPr>
      <w:r>
        <w:rPr>
          <w:rFonts w:ascii="Times New Roman" w:cs="Times New Roman" w:eastAsia="Times New Roman" w:hAnsi="Times New Roman"/>
          <w:i/>
          <w:iCs/>
          <w:color w:val="000000"/>
          <w:sz w:val="24"/>
          <w:szCs w:val="24"/>
        </w:rPr>
        <w:t xml:space="preserve">CANDO Lab, Kwame Nkrumah University of Science and Technology (KNUST), Kumasi, Ghana</w:t>
      </w:r>
    </w:p>
    <w:p>
      <w:pPr>
        <w:spacing w:before="0" w:after="240"/>
        <w:jc w:val="center"/>
      </w:pPr>
      <w:r>
        <w:rPr>
          <w:rFonts w:ascii="Times New Roman" w:cs="Times New Roman" w:eastAsia="Times New Roman" w:hAnsi="Times New Roman"/>
          <w:color w:val="000000"/>
          <w:sz w:val="24"/>
          <w:szCs w:val="24"/>
        </w:rPr>
        <w:t xml:space="preserve">Correspondence: [Author Email]</w:t>
      </w:r>
    </w:p>
    <w:p>
      <w:pPr>
        <w:pStyle w:val="Heading1"/>
        <w:spacing w:before="320" w:after="160"/>
      </w:pPr>
      <w:r>
        <w:rPr>
          <w:rFonts w:ascii="Times New Roman" w:cs="Times New Roman" w:eastAsia="Times New Roman" w:hAnsi="Times New Roman"/>
          <w:b/>
          <w:bCs/>
          <w:color w:val="000000"/>
          <w:sz w:val="28"/>
          <w:szCs w:val="28"/>
        </w:rPr>
        <w:t xml:space="preserve">Abstract</w:t>
      </w:r>
    </w:p>
    <w:p>
      <w:pPr>
        <w:spacing w:before="0" w:after="160" w:line="480" w:lineRule="auto"/>
        <w:jc w:val="both"/>
      </w:pPr>
      <w:r>
        <w:rPr>
          <w:rFonts w:ascii="Times New Roman" w:cs="Times New Roman" w:eastAsia="Times New Roman" w:hAnsi="Times New Roman"/>
          <w:color w:val="000000"/>
          <w:sz w:val="24"/>
          <w:szCs w:val="24"/>
        </w:rPr>
        <w:t xml:space="preserve">Dropout from basic education remains a critical developmental challenge in sub-Saharan Africa, with Ghana experiencing gross Junior High School (JHS) dropout rates exceeding 20%. Machine learning approaches have demonstrated state-of-the-art predictive performance in educational data mining, yet their applicability in African basic education is constrained by geographic data gaps, the absence of human-centered explainability, and untested algorithmic fairness. This study addresses these gaps by developing and evaluating a LightGBM and Random Forest ensemble model integrated with SHAP (SHapley Additive exPlanations) TreeExplainer to predict dropout risk among primary and JHS pupils in the Ashanti Region of Ghana. Using institutional administrative records augmented with CTGAN synthetic data, the model incorporates multi-level ecological features spanning student, household, and school domains to capture the complex structural drivers of educational attrition. The LightGBM-SHAP ensemble is benchmarked against Logistic Regression, Decision Tree, and XGBoost baselines on AUC-ROC, AUC-PR, and macro F1-score. Furthermore, the actionability of SHAP per-pupil attributions is validated with Ghanaian basic school educators, and model equity is assessed by measuring Equal Opportunity and Equalized Odds fairness gaps across gender and urban/rural subgroups. This study provides a locally validated, interpretable early-warning toolkit to inform targeted interventions and evidence-based resource allocation, contributing to the body of knowledge on educational AI in sub-Saharan Africa.</w:t>
      </w:r>
    </w:p>
    <w:p>
      <w:pPr>
        <w:spacing w:before="0" w:after="240" w:line="480" w:lineRule="auto"/>
        <w:jc w:val="both"/>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color w:val="000000"/>
          <w:sz w:val="24"/>
          <w:szCs w:val="24"/>
        </w:rPr>
        <w:t xml:space="preserve">Student Dropout Prediction, Machine Learning, LightGBM, SHAP, Explainable AI, Algorithmic Fairness, Sub-Saharan Africa, Educational Data Mining</w:t>
      </w:r>
    </w:p>
    <w:p>
      <w:pPr>
        <w:pStyle w:val="Heading1"/>
        <w:spacing w:before="320" w:after="160"/>
      </w:pPr>
      <w:r>
        <w:rPr>
          <w:rFonts w:ascii="Times New Roman" w:cs="Times New Roman" w:eastAsia="Times New Roman" w:hAnsi="Times New Roman"/>
          <w:b/>
          <w:bCs/>
          <w:color w:val="000000"/>
          <w:sz w:val="28"/>
          <w:szCs w:val="28"/>
        </w:rPr>
        <w:t xml:space="preserve">1. Introduction</w:t>
      </w:r>
    </w:p>
    <w:p>
      <w:pPr>
        <w:spacing w:before="0" w:after="160" w:line="480" w:lineRule="auto"/>
        <w:jc w:val="both"/>
      </w:pPr>
      <w:r>
        <w:rPr>
          <w:rFonts w:ascii="Times New Roman" w:cs="Times New Roman" w:eastAsia="Times New Roman" w:hAnsi="Times New Roman"/>
          <w:color w:val="000000"/>
          <w:sz w:val="24"/>
          <w:szCs w:val="24"/>
        </w:rPr>
        <w:t xml:space="preserve">Dropout from basic education, spanning Primary 1 to Junior High School (JHS) Form 3 (ages 6 to 15), remains a critical developmental challenge in sub-Saharan Africa [1]. In Ghana, basic schooling is constitutionally guaranteed under the Free Compulsory Universal Basic Education (FCUBE) policy, yet the operational reality diverges from this mandate. Recent administrative data from the Ghana Education Service (GES) indicate that gross JHS dropout rates exceed 20%, with disproportionate attrition in rural and northern districts [2]. The drivers of this attrition are multifaceted: poverty, child labour, food insecurity, long travel distances, and early pregnancy among girls interact in complex, nonlinear ways that push students out of the educational system [3].</w:t>
      </w:r>
    </w:p>
    <w:p>
      <w:pPr>
        <w:spacing w:before="0" w:after="160" w:line="480" w:lineRule="auto"/>
        <w:jc w:val="both"/>
      </w:pPr>
      <w:r>
        <w:rPr>
          <w:rFonts w:ascii="Times New Roman" w:cs="Times New Roman" w:eastAsia="Times New Roman" w:hAnsi="Times New Roman"/>
          <w:color w:val="000000"/>
          <w:sz w:val="24"/>
          <w:szCs w:val="24"/>
        </w:rPr>
        <w:t xml:space="preserve">Present early warning mechanisms in Ghanaian basic schools are overwhelmingly reactive. Headteachers and educators typically identify at-risk pupils only after prolonged absentee periods or significant academic failure, at which point re-enrolment and remediation become considerably more difficult and resource-intensive. Consequently, limited intervention resources such as the Ghana School Feeding Programme funds, LEAP social protection payments, and targeted bursaries are frequently allocated using broad district-level demographic proxies rather than evidence-based, pupil-level predictive targeting.</w:t>
      </w:r>
    </w:p>
    <w:p>
      <w:pPr>
        <w:spacing w:before="0" w:after="160" w:line="480" w:lineRule="auto"/>
        <w:jc w:val="both"/>
      </w:pPr>
      <w:r>
        <w:rPr>
          <w:rFonts w:ascii="Times New Roman" w:cs="Times New Roman" w:eastAsia="Times New Roman" w:hAnsi="Times New Roman"/>
          <w:color w:val="000000"/>
          <w:sz w:val="24"/>
          <w:szCs w:val="24"/>
        </w:rPr>
        <w:t xml:space="preserve">The application of Machine Learning (ML) to Educational Data Mining (EDM) offers a transformative approach to this challenge. Predictive algorithms, particularly gradient-boosted tree ensembles, have demonstrated state-of-the-art performance in identifying at-risk students across global educational contexts [4]. However, the translation of these predictive capabilities to sub-Saharan African basic education is impeded by three critical gaps in the existing literature.</w:t>
      </w:r>
    </w:p>
    <w:p>
      <w:pPr>
        <w:spacing w:before="0" w:after="160" w:line="480" w:lineRule="auto"/>
        <w:jc w:val="both"/>
      </w:pPr>
      <w:r>
        <w:rPr>
          <w:rFonts w:ascii="Times New Roman" w:cs="Times New Roman" w:eastAsia="Times New Roman" w:hAnsi="Times New Roman"/>
          <w:color w:val="000000"/>
          <w:sz w:val="24"/>
          <w:szCs w:val="24"/>
        </w:rPr>
        <w:t xml:space="preserve">First, there is a profound geographic and educational-level gap. ML models have been extensively validated on OECD university and MOOC datasets such as OULAD and EdNet, which lack the specific structural features that drive dropout in African basic schools, including acute poverty proxies, seasonal agricultural attendance loss, and frequent grade repetition. Existing African ML dropout research focuses almost exclusively on the tertiary tier [5, 6].</w:t>
      </w:r>
    </w:p>
    <w:p>
      <w:pPr>
        <w:spacing w:before="0" w:after="160" w:line="480" w:lineRule="auto"/>
        <w:jc w:val="both"/>
      </w:pPr>
      <w:r>
        <w:rPr>
          <w:rFonts w:ascii="Times New Roman" w:cs="Times New Roman" w:eastAsia="Times New Roman" w:hAnsi="Times New Roman"/>
          <w:color w:val="000000"/>
          <w:sz w:val="24"/>
          <w:szCs w:val="24"/>
        </w:rPr>
        <w:t xml:space="preserve">Second, there is an explainability gap. Predictive models in education are only useful if their outputs are actionable for educators. Fewer than 12% of dropout prediction papers globally include any explainability mechanism [7]. No study has applied advanced explainable AI (XAI) techniques such as SHapley Additive exPlanations (SHAP) [8] to dropout prediction in an African basic school context, nor evaluated whether such outputs are genuinely interpretable and actionable for educators with limited ML literacy.</w:t>
      </w:r>
    </w:p>
    <w:p>
      <w:pPr>
        <w:spacing w:before="0" w:after="160" w:line="480" w:lineRule="auto"/>
        <w:jc w:val="both"/>
      </w:pPr>
      <w:r>
        <w:rPr>
          <w:rFonts w:ascii="Times New Roman" w:cs="Times New Roman" w:eastAsia="Times New Roman" w:hAnsi="Times New Roman"/>
          <w:color w:val="000000"/>
          <w:sz w:val="24"/>
          <w:szCs w:val="24"/>
        </w:rPr>
        <w:t xml:space="preserve">Third, there is a recognized fairness gap. Models trained on historically under-resourced populations risk amplifying existing demographic inequities [9, 10]. African education literature notes a stark absence of equity-aware AI systems [11]. No prior sub-Saharan African dropout study has formally evaluated algorithmic fairness gaps across gender or urban/rural subgroups.</w:t>
      </w:r>
    </w:p>
    <w:p>
      <w:pPr>
        <w:spacing w:before="0" w:after="160" w:line="480" w:lineRule="auto"/>
        <w:jc w:val="both"/>
      </w:pPr>
      <w:r>
        <w:rPr>
          <w:rFonts w:ascii="Times New Roman" w:cs="Times New Roman" w:eastAsia="Times New Roman" w:hAnsi="Times New Roman"/>
          <w:color w:val="000000"/>
          <w:sz w:val="24"/>
          <w:szCs w:val="24"/>
        </w:rPr>
        <w:t xml:space="preserve">To address these interconnected gaps, this study develops and evaluates a LightGBM and Random Forest ensemble model integrated with SHAP TreeExplainer to predict dropout risk among primary and JHS pupils in Ghana. The study is grounded theoretically in two frameworks. Bronfenbrenner's Ecological Systems Theory [12] holds that children's educational outcomes are shaped by nested environmental systems at the student, household, school, and community levels, directly motivating the multi-source feature design adopted in this study. Self-Determination Theory (SDT) [13] informs the human-centred AI dimension, positioning SHAP-explained predictions as tools that support educator competence by enabling targeted, evidence-based intervention rather than stigmatizing blanket labelling.</w:t>
      </w:r>
    </w:p>
    <w:p>
      <w:pPr>
        <w:spacing w:before="0" w:after="160" w:line="480" w:lineRule="auto"/>
        <w:jc w:val="both"/>
      </w:pPr>
      <w:r>
        <w:rPr>
          <w:rFonts w:ascii="Times New Roman" w:cs="Times New Roman" w:eastAsia="Times New Roman" w:hAnsi="Times New Roman"/>
          <w:color w:val="000000"/>
          <w:sz w:val="24"/>
          <w:szCs w:val="24"/>
        </w:rPr>
        <w:t xml:space="preserve">The remainder of this paper is organized as follows. Section 2 reviews the related literature across four strands: ML approaches to dropout prediction, explainable AI in educational data mining, algorithmic fairness in education, and the African and basic school research gap. Section 3 describes the methodology, covering model architecture, dataset construction, preprocessing, experimental design, evaluation metrics, and ethical considerations. Section 4 presents the empirical results. Section 5 discusses findings in relation to theory, prior literature, limitations, and policy implications. Section 6 concludes the paper and identifies directions for future research.</w:t>
      </w:r>
    </w:p>
    <w:p>
      <w:pPr>
        <w:pStyle w:val="Heading1"/>
        <w:spacing w:before="320" w:after="160"/>
      </w:pPr>
      <w:r>
        <w:rPr>
          <w:rFonts w:ascii="Times New Roman" w:cs="Times New Roman" w:eastAsia="Times New Roman" w:hAnsi="Times New Roman"/>
          <w:b/>
          <w:bCs/>
          <w:color w:val="000000"/>
          <w:sz w:val="28"/>
          <w:szCs w:val="28"/>
        </w:rPr>
        <w:t xml:space="preserve">2. Related Works Review</w:t>
      </w:r>
    </w:p>
    <w:p>
      <w:pPr>
        <w:pStyle w:val="Heading2"/>
        <w:spacing w:before="240" w:after="120"/>
      </w:pPr>
      <w:r>
        <w:rPr>
          <w:rFonts w:ascii="Times New Roman" w:cs="Times New Roman" w:eastAsia="Times New Roman" w:hAnsi="Times New Roman"/>
          <w:b/>
          <w:bCs/>
          <w:color w:val="000000"/>
          <w:sz w:val="24"/>
          <w:szCs w:val="24"/>
        </w:rPr>
        <w:t xml:space="preserve">2.1. Machine Learning Approaches to Dropout Prediction</w:t>
      </w:r>
    </w:p>
    <w:p>
      <w:pPr>
        <w:spacing w:before="0" w:after="160" w:line="480" w:lineRule="auto"/>
        <w:jc w:val="both"/>
      </w:pPr>
      <w:r>
        <w:rPr>
          <w:rFonts w:ascii="Times New Roman" w:cs="Times New Roman" w:eastAsia="Times New Roman" w:hAnsi="Times New Roman"/>
          <w:color w:val="000000"/>
          <w:sz w:val="24"/>
          <w:szCs w:val="24"/>
        </w:rPr>
        <w:t xml:space="preserve">The application of supervised machine learning to predict academic failure and student dropout has matured significantly over the past decade. Comparative studies have consistently established that tree-based ensemble methods, specifically Random Forests (RF) and gradient boosting machines such as XGBoost and LightGBM, outperform traditional linear models and dense neural networks on tabular educational data. Fernandez-Garcia et al. [17] conducted a comprehensive systematic review of ML techniques for dropout prediction and identified gradient-boosted ensembles as the dominant state-of-the-art approach, noting their consistent superiority on heterogeneous, imbalanced institutional datasets. Chango et al. [14] further demonstrated the efficacy of multi-source ensemble models for predicting students at risk of academic failure, underscoring the importance of integrating features across multiple data domains.</w:t>
      </w:r>
    </w:p>
    <w:p>
      <w:pPr>
        <w:spacing w:before="0" w:after="160" w:line="480" w:lineRule="auto"/>
        <w:jc w:val="both"/>
      </w:pPr>
      <w:r>
        <w:rPr>
          <w:rFonts w:ascii="Times New Roman" w:cs="Times New Roman" w:eastAsia="Times New Roman" w:hAnsi="Times New Roman"/>
          <w:color w:val="000000"/>
          <w:sz w:val="24"/>
          <w:szCs w:val="24"/>
        </w:rPr>
        <w:t xml:space="preserve">Within the gradient boosting class, LightGBM [15] offers specific architectural advantages for medium-scale, heterogeneous datasets typical of institutional records, including histogram-based leaf-wise splitting for faster training, native handling of categorical features, and robust performance under severe class imbalance. Marcolino et al. [16] confirmed that CatBoost combined with SHAP achieves Tier-1 publication performance for dropout prediction on tabular data, establishing a benchmark that LightGBM matches or exceeds on comparably sized institutional datasets. Despite this algorithmic convergence, comprehensive reviews [17] indicate that the overwhelming majority of models are trained and evaluated on data from higher education institutions or online learning platforms in the Global North. The structural realities of basic education in sub-Saharan Africa remain absent from these benchmarks.</w:t>
      </w:r>
    </w:p>
    <w:p>
      <w:pPr>
        <w:pStyle w:val="Heading2"/>
        <w:spacing w:before="240" w:after="120"/>
      </w:pPr>
      <w:r>
        <w:rPr>
          <w:rFonts w:ascii="Times New Roman" w:cs="Times New Roman" w:eastAsia="Times New Roman" w:hAnsi="Times New Roman"/>
          <w:b/>
          <w:bCs/>
          <w:color w:val="000000"/>
          <w:sz w:val="24"/>
          <w:szCs w:val="24"/>
        </w:rPr>
        <w:t xml:space="preserve">2.2. Explainable AI (XAI) in Educational Data Mining</w:t>
      </w:r>
    </w:p>
    <w:p>
      <w:pPr>
        <w:spacing w:before="0" w:after="160" w:line="480" w:lineRule="auto"/>
        <w:jc w:val="both"/>
      </w:pPr>
      <w:r>
        <w:rPr>
          <w:rFonts w:ascii="Times New Roman" w:cs="Times New Roman" w:eastAsia="Times New Roman" w:hAnsi="Times New Roman"/>
          <w:color w:val="000000"/>
          <w:sz w:val="24"/>
          <w:szCs w:val="24"/>
        </w:rPr>
        <w:t xml:space="preserve">The push toward Human-Centered AI (HCAI) in education recognizes that black-box predictive models face severe adoption barriers among educators who must trust the system before acting on its outputs [19]. Namoun and Alshanqiti [7] found that nearly 90% of dropout prediction papers lack any explainability mechanism. Where feature importance is reported, it is typically a global aggregate derived from Gini impurity or gain, which provides systemic insight but fails to offer the per-prediction transparency required for individualized teacher intervention.</w:t>
      </w:r>
    </w:p>
    <w:p>
      <w:pPr>
        <w:spacing w:before="0" w:after="160" w:line="480" w:lineRule="auto"/>
        <w:jc w:val="both"/>
      </w:pPr>
      <w:r>
        <w:rPr>
          <w:rFonts w:ascii="Times New Roman" w:cs="Times New Roman" w:eastAsia="Times New Roman" w:hAnsi="Times New Roman"/>
          <w:color w:val="000000"/>
          <w:sz w:val="24"/>
          <w:szCs w:val="24"/>
        </w:rPr>
        <w:t xml:space="preserve">To address this limitation, SHAP [8] has emerged as a theoretically grounded cooperative game theory approach to feature attribution, enabling both global summary impacts and local instantiation such as waterfall plots for individual students at risk. Nagy and Molontay [19] demonstrated how SHAP and LIME can deliver both global and per-student personalized explanations within a dropout prediction pipeline, and conducted a user study with students and higher education decision-makers on the readability and utility of different XAI output formats. This work establishes an important precedent for the stakeholder validation dimension of the present study. Notwithstanding this progress, the application of SHAP in resource-constrained, non-LMS school environments remains largely unexplored, and the actionability of SHAP outputs with basic school educators in the African context has not been empirically tested.</w:t>
      </w:r>
    </w:p>
    <w:p>
      <w:pPr>
        <w:pStyle w:val="Heading2"/>
        <w:spacing w:before="240" w:after="120"/>
      </w:pPr>
      <w:r>
        <w:rPr>
          <w:rFonts w:ascii="Times New Roman" w:cs="Times New Roman" w:eastAsia="Times New Roman" w:hAnsi="Times New Roman"/>
          <w:b/>
          <w:bCs/>
          <w:color w:val="000000"/>
          <w:sz w:val="24"/>
          <w:szCs w:val="24"/>
        </w:rPr>
        <w:t xml:space="preserve">2.3. Algorithmic Fairness and Equity in Education</w:t>
      </w:r>
    </w:p>
    <w:p>
      <w:pPr>
        <w:spacing w:before="0" w:after="160" w:line="480" w:lineRule="auto"/>
        <w:jc w:val="both"/>
      </w:pPr>
      <w:r>
        <w:rPr>
          <w:rFonts w:ascii="Times New Roman" w:cs="Times New Roman" w:eastAsia="Times New Roman" w:hAnsi="Times New Roman"/>
          <w:color w:val="000000"/>
          <w:sz w:val="24"/>
          <w:szCs w:val="24"/>
        </w:rPr>
        <w:t xml:space="preserve">A parallel body of literature cautions against the uncritical deployment of predictive models in social domains [10]. ML models in education can encode and amplify historical biases, predicting failure more aggressively for marginalized subgroups [9]. Adewoyin and Igboeli [11] have highlighted the stark absence of equity-aware AI research in African education. Given the known gender disparities [3] and sharp urban-rural resource divides in Ghana, assessing fairness metrics such as Equal Opportunity and Equalized Odds is not merely a technical exercise but an ethical prerequisite for policy deployment. A biased early warning system could systematically under-flag already-marginalized pupils, converting a well-intentioned tool into a mechanism of exclusion.</w:t>
      </w:r>
    </w:p>
    <w:p>
      <w:pPr>
        <w:pStyle w:val="Heading2"/>
        <w:spacing w:before="240" w:after="120"/>
      </w:pPr>
      <w:r>
        <w:rPr>
          <w:rFonts w:ascii="Times New Roman" w:cs="Times New Roman" w:eastAsia="Times New Roman" w:hAnsi="Times New Roman"/>
          <w:b/>
          <w:bCs/>
          <w:color w:val="000000"/>
          <w:sz w:val="24"/>
          <w:szCs w:val="24"/>
        </w:rPr>
        <w:t xml:space="preserve">2.4. The African and Basic School Research Gap</w:t>
      </w:r>
    </w:p>
    <w:p>
      <w:pPr>
        <w:spacing w:before="0" w:after="160" w:line="480" w:lineRule="auto"/>
        <w:jc w:val="both"/>
      </w:pPr>
      <w:r>
        <w:rPr>
          <w:rFonts w:ascii="Times New Roman" w:cs="Times New Roman" w:eastAsia="Times New Roman" w:hAnsi="Times New Roman"/>
          <w:color w:val="000000"/>
          <w:sz w:val="24"/>
          <w:szCs w:val="24"/>
        </w:rPr>
        <w:t xml:space="preserve">Despite the maturation of ML dropout prediction as a field, a persistent geographic and educational-level gap remains. The closest African ML precedent is Adekitan and Salau [5], who applied Random Forest to Nigerian university engineering records, achieving meaningful predictive accuracy without any XAI component and without basic school data. Mduma et al. [18] provided the most directly relevant sub-Saharan African benchmark, evaluating XGBoost and RF on university dropout in the region, but their work remains confined to the tertiary tier and to datasets lacking the poverty-proxy and infrastructure features that characterize the Ghanaian basic school context.</w:t>
      </w:r>
    </w:p>
    <w:p>
      <w:pPr>
        <w:spacing w:before="0" w:after="160" w:line="480" w:lineRule="auto"/>
        <w:jc w:val="both"/>
      </w:pPr>
      <w:r>
        <w:rPr>
          <w:rFonts w:ascii="Times New Roman" w:cs="Times New Roman" w:eastAsia="Times New Roman" w:hAnsi="Times New Roman"/>
          <w:color w:val="000000"/>
          <w:sz w:val="24"/>
          <w:szCs w:val="24"/>
        </w:rPr>
        <w:t xml:space="preserve">At the descriptive level, Psaki et al. [3] systematically documented gender-differentiated dropout patterns across low- and middle-income countries, identifying early pregnancy and household labour demand as primary attrition mechanisms in basic education. These factors are entirely absent from the OULAD and EdNet benchmark datasets on which most ML dropout models have been trained, representing a fundamental structural incompatibility rather than a minor limitation. A model trained on university LMS engagement logs has no transfer validity to a Ghanaian primary school register that records poverty proxies, seasonal attendance gaps, and grade-repetition histories.</w:t>
      </w:r>
    </w:p>
    <w:p>
      <w:pPr>
        <w:spacing w:before="0" w:after="160" w:line="480" w:lineRule="auto"/>
        <w:jc w:val="both"/>
      </w:pPr>
      <w:r>
        <w:rPr>
          <w:rFonts w:ascii="Times New Roman" w:cs="Times New Roman" w:eastAsia="Times New Roman" w:hAnsi="Times New Roman"/>
          <w:color w:val="000000"/>
          <w:sz w:val="24"/>
          <w:szCs w:val="24"/>
        </w:rPr>
        <w:t xml:space="preserve">Adewoyin and Igboeli [11] identify the absence of equity-aware, explainable AI in African education as a critical systemic gap, particularly consequential in contexts of deep structural inequality. No published study has applied a gradient-boosted model with SHAP explainability to Ghanaian or sub-Saharan African basic school dropout using institutional administrative data, nor has any prior African dropout study evaluated stakeholder-facing explanation actionability with frontline educators. This study fills that compound gap across predictive accuracy, explainability, fairness, and teacher validation simultaneously, at the basic school level.</w:t>
      </w:r>
    </w:p>
    <w:p>
      <w:pPr>
        <w:pStyle w:val="Heading1"/>
        <w:spacing w:before="320" w:after="160"/>
      </w:pPr>
      <w:r>
        <w:rPr>
          <w:rFonts w:ascii="Times New Roman" w:cs="Times New Roman" w:eastAsia="Times New Roman" w:hAnsi="Times New Roman"/>
          <w:b/>
          <w:bCs/>
          <w:color w:val="000000"/>
          <w:sz w:val="28"/>
          <w:szCs w:val="28"/>
        </w:rPr>
        <w:t xml:space="preserve">3. Methodology</w:t>
      </w:r>
    </w:p>
    <w:p>
      <w:pPr>
        <w:pStyle w:val="Heading2"/>
        <w:spacing w:before="240" w:after="120"/>
      </w:pPr>
      <w:r>
        <w:rPr>
          <w:rFonts w:ascii="Times New Roman" w:cs="Times New Roman" w:eastAsia="Times New Roman" w:hAnsi="Times New Roman"/>
          <w:b/>
          <w:bCs/>
          <w:color w:val="000000"/>
          <w:sz w:val="24"/>
          <w:szCs w:val="24"/>
        </w:rPr>
        <w:t xml:space="preserve">3.1. Research Design and Model Architecture</w:t>
      </w:r>
    </w:p>
    <w:p>
      <w:pPr>
        <w:spacing w:before="0" w:after="160" w:line="480" w:lineRule="auto"/>
        <w:jc w:val="both"/>
      </w:pPr>
      <w:r>
        <w:rPr>
          <w:rFonts w:ascii="Times New Roman" w:cs="Times New Roman" w:eastAsia="Times New Roman" w:hAnsi="Times New Roman"/>
          <w:color w:val="000000"/>
          <w:sz w:val="24"/>
          <w:szCs w:val="24"/>
        </w:rPr>
        <w:t xml:space="preserve">This study employs a quantitative, predictive modelling design utilizing a LightGBM and Random Forest (RF) ensemble architecture integrated with a SHAP TreeExplainer for local and global interpretability. LightGBM was selected as the primary base learner due to its histogram-based decision tree algorithms, native categorical feature support, and built-in class imbalance handling via the is_unbalance=True parameter. A Random Forest classifier serves as the secondary base learner to mitigate the variance inherent in individual model sensitivity to hyperparameter tuning [20]. The ensemble generates final dropout probabilities via soft voting, specifically a weighted average of LightGBM and RF probability outputs, rather than hard class decisions. This preserves calibration for downstream fairness analysis. SHAP TreeExplainer is utilized because it provides exact, computationally efficient Shapley value calculations natively compatible with both LightGBM and RF trees, enabling global beeswarm summary plots for GES policy briefings and local waterfall plots for individual teacher decisions. The ensemble is benchmarked against Logistic Regression, Decision Tree, and XGBoost baselines [14, 18].</w:t>
      </w:r>
    </w:p>
    <w:p>
      <w:pPr>
        <w:spacing w:before="0" w:after="160" w:line="480" w:lineRule="auto"/>
        <w:jc w:val="both"/>
      </w:pPr>
      <w:r>
        <w:rPr>
          <w:rFonts w:ascii="Times New Roman" w:cs="Times New Roman" w:eastAsia="Times New Roman" w:hAnsi="Times New Roman"/>
          <w:color w:val="000000"/>
          <w:sz w:val="24"/>
          <w:szCs w:val="24"/>
        </w:rPr>
        <w:t xml:space="preserve">To isolate the contribution of each architectural component, a four-condition ablation study is implemented: (i) LightGBM alone versus the full LightGBM-RF ensemble, to quantify the variance reduction attributable to ensemble combination; (ii) ensemble without the SHAP XAI layer; (iii) ensemble without socioeconomic features, that is, household poverty proxies and school infrastructure indices, directly testing Bronfenbrenner's theoretical claim that multi-level ecological features improve prediction over single-level academic indicators alone; and (iv) real data only versus CTGAN-augmented data, to validate the contribution of synthetic augmentation to model stability.</w:t>
      </w:r>
    </w:p>
    <w:p>
      <w:pPr>
        <w:spacing w:before="0" w:after="160" w:line="480" w:lineRule="auto"/>
        <w:jc w:val="both"/>
      </w:pPr>
      <w:r>
        <w:rPr>
          <w:rFonts w:ascii="Times New Roman" w:cs="Times New Roman" w:eastAsia="Times New Roman" w:hAnsi="Times New Roman"/>
          <w:color w:val="000000"/>
          <w:sz w:val="24"/>
          <w:szCs w:val="24"/>
        </w:rPr>
        <w:t xml:space="preserve">Hyperparameter optimization is conducted via grid search with five-fold stratified cross-validation. The search spaces are as follows: for LightGBM, num_leaves is set to values in {31, 63, 127}, learning_rate in {0.01, 0.05, 0.1}, and n_estimators in {200, 500, 1000}. For Random Forest, n_estimators is searched in {100, 200, 300} and max_features in {sqrt, log2}. For XGBoost, n_estimators is searched in {100, 200, 300} and max_depth in {4, 6, 8}. All results are reported as mean and standard deviation across five random seeds: 42, 123, 456, 789, and 1024.</w:t>
      </w:r>
    </w:p>
    <w:p>
      <w:pPr>
        <w:pStyle w:val="Heading2"/>
        <w:spacing w:before="240" w:after="120"/>
      </w:pPr>
      <w:r>
        <w:rPr>
          <w:rFonts w:ascii="Times New Roman" w:cs="Times New Roman" w:eastAsia="Times New Roman" w:hAnsi="Times New Roman"/>
          <w:b/>
          <w:bCs/>
          <w:color w:val="000000"/>
          <w:sz w:val="24"/>
          <w:szCs w:val="24"/>
        </w:rPr>
        <w:t xml:space="preserve">3.2. Dataset and Contextual Features</w:t>
      </w:r>
    </w:p>
    <w:p>
      <w:pPr>
        <w:spacing w:before="0" w:after="160" w:line="480" w:lineRule="auto"/>
        <w:jc w:val="both"/>
      </w:pPr>
      <w:r>
        <w:rPr>
          <w:rFonts w:ascii="Times New Roman" w:cs="Times New Roman" w:eastAsia="Times New Roman" w:hAnsi="Times New Roman"/>
          <w:color w:val="000000"/>
          <w:sz w:val="24"/>
          <w:szCs w:val="24"/>
        </w:rPr>
        <w:t xml:space="preserve">Primary institutional administrative records are sourced from the Ghana Education Service (GES) Educational Management Information System (EMIS) and physical school registers from a purposive sample of at least 10 basic schools within two districts in the Ashanti Region. School selection maximizes geographic variation, targeting at least five urban and five peri-urban schools to directly support the urban/rural fairness analysis required by RQ3. The dataset is structured at the pupil-year level such that multi-year records yield multiple rows per pupil, effectively increasing dataset volume while maintaining data authenticity. The target minimum is 1,000 real records, comprising at least 350 dropout cases and 650 retained.</w:t>
      </w:r>
    </w:p>
    <w:p>
      <w:pPr>
        <w:spacing w:before="0" w:after="160" w:line="480" w:lineRule="auto"/>
        <w:jc w:val="both"/>
      </w:pPr>
      <w:r>
        <w:rPr>
          <w:rFonts w:ascii="Times New Roman" w:cs="Times New Roman" w:eastAsia="Times New Roman" w:hAnsi="Times New Roman"/>
          <w:color w:val="000000"/>
          <w:sz w:val="24"/>
          <w:szCs w:val="24"/>
        </w:rPr>
        <w:t xml:space="preserve">In accordance with Bronfenbrenner's Ecological Systems Theory [12], features are engineered across multiple ecological levels. The full feature set is presented in Table 1.</w:t>
      </w:r>
    </w:p>
    <w:p>
      <w:pPr>
        <w:spacing w:before="0" w:after="100"/>
      </w:pPr>
    </w:p>
    <w:p>
      <w:pPr>
        <w:spacing w:before="0" w:after="80"/>
      </w:pPr>
      <w:r>
        <w:rPr>
          <w:rFonts w:ascii="Times New Roman" w:cs="Times New Roman" w:eastAsia="Times New Roman" w:hAnsi="Times New Roman"/>
          <w:b/>
          <w:bCs/>
          <w:color w:val="000000"/>
          <w:sz w:val="22"/>
          <w:szCs w:val="22"/>
        </w:rPr>
        <w:t xml:space="preserve">Table 1. Feature Engineering Schema by Ecological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200"/>
        <w:gridCol w:w="2000"/>
        <w:gridCol w:w="1760"/>
      </w:tblGrid>
      <w:tr>
        <w:tc>
          <w:tcPr>
            <w:tcW w:type="dxa" w:w="19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Feature</w:t>
            </w:r>
          </w:p>
        </w:tc>
        <w:tc>
          <w:tcPr>
            <w:tcW w:type="dxa" w:w="25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Description</w:t>
            </w:r>
          </w:p>
        </w:tc>
        <w:tc>
          <w:tcPr>
            <w:tcW w:type="dxa" w:w="12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Type</w:t>
            </w:r>
          </w:p>
        </w:tc>
        <w:tc>
          <w:tcPr>
            <w:tcW w:type="dxa" w:w="20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Ecological Level</w:t>
            </w:r>
          </w:p>
        </w:tc>
        <w:tc>
          <w:tcPr>
            <w:tcW w:type="dxa" w:w="176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Source</w:t>
            </w:r>
          </w:p>
        </w:tc>
      </w:tr>
      <w:tr>
        <w:tc>
          <w:tcPr>
            <w:tcW w:type="dxa" w:w="19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Age at enrolment</w:t>
            </w:r>
          </w:p>
        </w:tc>
        <w:tc>
          <w:tcPr>
            <w:tcW w:type="dxa" w:w="25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Pupil age at start of academic year</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Numerical</w:t>
            </w:r>
          </w:p>
        </w:tc>
        <w:tc>
          <w:tcPr>
            <w:tcW w:type="dxa" w:w="20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Student (Microsystem)</w:t>
            </w:r>
          </w:p>
        </w:tc>
        <w:tc>
          <w:tcPr>
            <w:tcW w:type="dxa" w:w="17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EMIS/Register</w:t>
            </w:r>
          </w:p>
        </w:tc>
      </w:tr>
      <w:tr>
        <w:tc>
          <w:tcPr>
            <w:tcW w:type="dxa" w:w="19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Gender</w:t>
            </w:r>
          </w:p>
        </w:tc>
        <w:tc>
          <w:tcPr>
            <w:tcW w:type="dxa" w:w="25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Male / Female</w:t>
            </w:r>
          </w:p>
        </w:tc>
        <w:tc>
          <w:tcPr>
            <w:tcW w:type="dxa" w:w="12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Categorical</w:t>
            </w:r>
          </w:p>
        </w:tc>
        <w:tc>
          <w:tcPr>
            <w:tcW w:type="dxa" w:w="20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Student (Microsystem)</w:t>
            </w:r>
          </w:p>
        </w:tc>
        <w:tc>
          <w:tcPr>
            <w:tcW w:type="dxa" w:w="176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EMIS/Register</w:t>
            </w:r>
          </w:p>
        </w:tc>
      </w:tr>
      <w:tr>
        <w:tc>
          <w:tcPr>
            <w:tcW w:type="dxa" w:w="19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Year of study</w:t>
            </w:r>
          </w:p>
        </w:tc>
        <w:tc>
          <w:tcPr>
            <w:tcW w:type="dxa" w:w="25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Primary 1-6 or JHS 1-3</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Ordinal</w:t>
            </w:r>
          </w:p>
        </w:tc>
        <w:tc>
          <w:tcPr>
            <w:tcW w:type="dxa" w:w="20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Student (Microsystem)</w:t>
            </w:r>
          </w:p>
        </w:tc>
        <w:tc>
          <w:tcPr>
            <w:tcW w:type="dxa" w:w="17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EMIS/Register</w:t>
            </w:r>
          </w:p>
        </w:tc>
      </w:tr>
      <w:tr>
        <w:tc>
          <w:tcPr>
            <w:tcW w:type="dxa" w:w="19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Attendance rate (%)</w:t>
            </w:r>
          </w:p>
        </w:tc>
        <w:tc>
          <w:tcPr>
            <w:tcW w:type="dxa" w:w="25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Proportion of school days attended per term</w:t>
            </w:r>
          </w:p>
        </w:tc>
        <w:tc>
          <w:tcPr>
            <w:tcW w:type="dxa" w:w="12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Numerical</w:t>
            </w:r>
          </w:p>
        </w:tc>
        <w:tc>
          <w:tcPr>
            <w:tcW w:type="dxa" w:w="20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Student (Microsystem)</w:t>
            </w:r>
          </w:p>
        </w:tc>
        <w:tc>
          <w:tcPr>
            <w:tcW w:type="dxa" w:w="176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EMIS/Register</w:t>
            </w:r>
          </w:p>
        </w:tc>
      </w:tr>
      <w:tr>
        <w:tc>
          <w:tcPr>
            <w:tcW w:type="dxa" w:w="19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Academic scores</w:t>
            </w:r>
          </w:p>
        </w:tc>
        <w:tc>
          <w:tcPr>
            <w:tcW w:type="dxa" w:w="25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End-of-term exam scores (standardized)</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Numerical</w:t>
            </w:r>
          </w:p>
        </w:tc>
        <w:tc>
          <w:tcPr>
            <w:tcW w:type="dxa" w:w="20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Student (Microsystem)</w:t>
            </w:r>
          </w:p>
        </w:tc>
        <w:tc>
          <w:tcPr>
            <w:tcW w:type="dxa" w:w="17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EMIS/Register</w:t>
            </w:r>
          </w:p>
        </w:tc>
      </w:tr>
      <w:tr>
        <w:tc>
          <w:tcPr>
            <w:tcW w:type="dxa" w:w="19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Grade repetition</w:t>
            </w:r>
          </w:p>
        </w:tc>
        <w:tc>
          <w:tcPr>
            <w:tcW w:type="dxa" w:w="25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Number of years repeated at current level</w:t>
            </w:r>
          </w:p>
        </w:tc>
        <w:tc>
          <w:tcPr>
            <w:tcW w:type="dxa" w:w="12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Numerical</w:t>
            </w:r>
          </w:p>
        </w:tc>
        <w:tc>
          <w:tcPr>
            <w:tcW w:type="dxa" w:w="20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Student (Microsystem)</w:t>
            </w:r>
          </w:p>
        </w:tc>
        <w:tc>
          <w:tcPr>
            <w:tcW w:type="dxa" w:w="176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EMIS/Register</w:t>
            </w:r>
          </w:p>
        </w:tc>
      </w:tr>
      <w:tr>
        <w:tc>
          <w:tcPr>
            <w:tcW w:type="dxa" w:w="19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School feeding status</w:t>
            </w:r>
          </w:p>
        </w:tc>
        <w:tc>
          <w:tcPr>
            <w:tcW w:type="dxa" w:w="25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Enrolled in Ghana School Feeding Programme (yes/no)</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Binary</w:t>
            </w:r>
          </w:p>
        </w:tc>
        <w:tc>
          <w:tcPr>
            <w:tcW w:type="dxa" w:w="20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Household (Exosystem)</w:t>
            </w:r>
          </w:p>
        </w:tc>
        <w:tc>
          <w:tcPr>
            <w:tcW w:type="dxa" w:w="17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EMIS</w:t>
            </w:r>
          </w:p>
        </w:tc>
      </w:tr>
      <w:tr>
        <w:tc>
          <w:tcPr>
            <w:tcW w:type="dxa" w:w="19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LEAP beneficiary</w:t>
            </w:r>
          </w:p>
        </w:tc>
        <w:tc>
          <w:tcPr>
            <w:tcW w:type="dxa" w:w="25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Household receiving LEAP social protection payments (yes/no)</w:t>
            </w:r>
          </w:p>
        </w:tc>
        <w:tc>
          <w:tcPr>
            <w:tcW w:type="dxa" w:w="12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Binary</w:t>
            </w:r>
          </w:p>
        </w:tc>
        <w:tc>
          <w:tcPr>
            <w:tcW w:type="dxa" w:w="20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Household (Exosystem)</w:t>
            </w:r>
          </w:p>
        </w:tc>
        <w:tc>
          <w:tcPr>
            <w:tcW w:type="dxa" w:w="176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GES District</w:t>
            </w:r>
          </w:p>
        </w:tc>
      </w:tr>
      <w:tr>
        <w:tc>
          <w:tcPr>
            <w:tcW w:type="dxa" w:w="19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Poverty proxy score</w:t>
            </w:r>
          </w:p>
        </w:tc>
        <w:tc>
          <w:tcPr>
            <w:tcW w:type="dxa" w:w="25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Composite index derived from LEAP and feeding status</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Numerical</w:t>
            </w:r>
          </w:p>
        </w:tc>
        <w:tc>
          <w:tcPr>
            <w:tcW w:type="dxa" w:w="20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Household (Exosystem)</w:t>
            </w:r>
          </w:p>
        </w:tc>
        <w:tc>
          <w:tcPr>
            <w:tcW w:type="dxa" w:w="17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Derived</w:t>
            </w:r>
          </w:p>
        </w:tc>
      </w:tr>
      <w:tr>
        <w:tc>
          <w:tcPr>
            <w:tcW w:type="dxa" w:w="19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Pupil-teacher ratio</w:t>
            </w:r>
          </w:p>
        </w:tc>
        <w:tc>
          <w:tcPr>
            <w:tcW w:type="dxa" w:w="25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Total enrolled pupils per qualified teacher</w:t>
            </w:r>
          </w:p>
        </w:tc>
        <w:tc>
          <w:tcPr>
            <w:tcW w:type="dxa" w:w="12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Numerical</w:t>
            </w:r>
          </w:p>
        </w:tc>
        <w:tc>
          <w:tcPr>
            <w:tcW w:type="dxa" w:w="20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School (Mesosystem)</w:t>
            </w:r>
          </w:p>
        </w:tc>
        <w:tc>
          <w:tcPr>
            <w:tcW w:type="dxa" w:w="176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EMIS</w:t>
            </w:r>
          </w:p>
        </w:tc>
      </w:tr>
      <w:tr>
        <w:tc>
          <w:tcPr>
            <w:tcW w:type="dxa" w:w="19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Infrastructure index</w:t>
            </w:r>
          </w:p>
        </w:tc>
        <w:tc>
          <w:tcPr>
            <w:tcW w:type="dxa" w:w="25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Composite score: classrooms, sanitation, water, electricity</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Numerical</w:t>
            </w:r>
          </w:p>
        </w:tc>
        <w:tc>
          <w:tcPr>
            <w:tcW w:type="dxa" w:w="20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School (Mesosystem)</w:t>
            </w:r>
          </w:p>
        </w:tc>
        <w:tc>
          <w:tcPr>
            <w:tcW w:type="dxa" w:w="17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EMIS</w:t>
            </w:r>
          </w:p>
        </w:tc>
      </w:tr>
      <w:tr>
        <w:tc>
          <w:tcPr>
            <w:tcW w:type="dxa" w:w="19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Feeding days/term</w:t>
            </w:r>
          </w:p>
        </w:tc>
        <w:tc>
          <w:tcPr>
            <w:tcW w:type="dxa" w:w="25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Number of days meals provided per academic term</w:t>
            </w:r>
          </w:p>
        </w:tc>
        <w:tc>
          <w:tcPr>
            <w:tcW w:type="dxa" w:w="12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Numerical</w:t>
            </w:r>
          </w:p>
        </w:tc>
        <w:tc>
          <w:tcPr>
            <w:tcW w:type="dxa" w:w="20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School (Mesosystem)</w:t>
            </w:r>
          </w:p>
        </w:tc>
        <w:tc>
          <w:tcPr>
            <w:tcW w:type="dxa" w:w="176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EMIS</w:t>
            </w:r>
          </w:p>
        </w:tc>
      </w:tr>
      <w:tr>
        <w:tc>
          <w:tcPr>
            <w:tcW w:type="dxa" w:w="19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Geographic zone</w:t>
            </w:r>
          </w:p>
        </w:tc>
        <w:tc>
          <w:tcPr>
            <w:tcW w:type="dxa" w:w="25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Urban / Peri-urban</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Categorical</w:t>
            </w:r>
          </w:p>
        </w:tc>
        <w:tc>
          <w:tcPr>
            <w:tcW w:type="dxa" w:w="20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Community (Macrosystem)</w:t>
            </w:r>
          </w:p>
        </w:tc>
        <w:tc>
          <w:tcPr>
            <w:tcW w:type="dxa" w:w="17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GES District</w:t>
            </w:r>
          </w:p>
        </w:tc>
      </w:tr>
      <w:tr>
        <w:tc>
          <w:tcPr>
            <w:tcW w:type="dxa" w:w="19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District deprivation</w:t>
            </w:r>
          </w:p>
        </w:tc>
        <w:tc>
          <w:tcPr>
            <w:tcW w:type="dxa" w:w="25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GES district-level resource deprivation score</w:t>
            </w:r>
          </w:p>
        </w:tc>
        <w:tc>
          <w:tcPr>
            <w:tcW w:type="dxa" w:w="12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Numerical</w:t>
            </w:r>
          </w:p>
        </w:tc>
        <w:tc>
          <w:tcPr>
            <w:tcW w:type="dxa" w:w="20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Community (Macrosystem)</w:t>
            </w:r>
          </w:p>
        </w:tc>
        <w:tc>
          <w:tcPr>
            <w:tcW w:type="dxa" w:w="176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GES District</w:t>
            </w:r>
          </w:p>
        </w:tc>
      </w:tr>
      <w:tr>
        <w:tc>
          <w:tcPr>
            <w:tcW w:type="dxa" w:w="19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Dropout (outcome)</w:t>
            </w:r>
          </w:p>
        </w:tc>
        <w:tc>
          <w:tcPr>
            <w:tcW w:type="dxa" w:w="25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Absent 3+ consecutive terms without transfer (1=Yes, 0=No)</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Binary</w:t>
            </w:r>
          </w:p>
        </w:tc>
        <w:tc>
          <w:tcPr>
            <w:tcW w:type="dxa" w:w="20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Outcome</w:t>
            </w:r>
          </w:p>
        </w:tc>
        <w:tc>
          <w:tcPr>
            <w:tcW w:type="dxa" w:w="17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EMIS/Register</w:t>
            </w:r>
          </w:p>
        </w:tc>
      </w:tr>
    </w:tbl>
    <w:p>
      <w:pPr>
        <w:spacing w:before="0" w:after="180"/>
      </w:pPr>
    </w:p>
    <w:p>
      <w:pPr>
        <w:pStyle w:val="Heading2"/>
        <w:spacing w:before="240" w:after="120"/>
      </w:pPr>
      <w:r>
        <w:rPr>
          <w:rFonts w:ascii="Times New Roman" w:cs="Times New Roman" w:eastAsia="Times New Roman" w:hAnsi="Times New Roman"/>
          <w:b/>
          <w:bCs/>
          <w:color w:val="000000"/>
          <w:sz w:val="24"/>
          <w:szCs w:val="24"/>
        </w:rPr>
        <w:t xml:space="preserve">3.3. Data Augmentation and Preprocessing</w:t>
      </w:r>
    </w:p>
    <w:p>
      <w:pPr>
        <w:spacing w:before="0" w:after="160" w:line="480" w:lineRule="auto"/>
        <w:jc w:val="both"/>
      </w:pPr>
      <w:r>
        <w:rPr>
          <w:rFonts w:ascii="Times New Roman" w:cs="Times New Roman" w:eastAsia="Times New Roman" w:hAnsi="Times New Roman"/>
          <w:color w:val="000000"/>
          <w:sz w:val="24"/>
          <w:szCs w:val="24"/>
        </w:rPr>
        <w:t xml:space="preserve">To ensure robust model training, the dataset targets a minimum of 1,000 real records. Where the total count falls below 1,500 after cleaning, the dataset is supplemented using the Conditional Tabular Generative Adversarial Network (CTGAN), implemented via the SDV library version 1.8. All synthetic records are explicitly labelled as synthetic prior to any modelling. Synthetic generation is subjected to four-level validation: (1) SDMetrics statistical fidelity assessment; (2) Train-Synthetic-Test-Real (TSTR) versus Train-Real-Test-Real (TRTR) comparison, which constitutes the primary validity check; (3) Nearest-Neighbour Adversarial Accuracy (NNAA) privacy audit; and (4) GES teacher plausibility review of 20 randomly sampled synthetic records.</w:t>
      </w:r>
    </w:p>
    <w:p>
      <w:pPr>
        <w:spacing w:before="0" w:after="160" w:line="480" w:lineRule="auto"/>
        <w:jc w:val="both"/>
      </w:pPr>
      <w:r>
        <w:rPr>
          <w:rFonts w:ascii="Times New Roman" w:cs="Times New Roman" w:eastAsia="Times New Roman" w:hAnsi="Times New Roman"/>
          <w:color w:val="000000"/>
          <w:sz w:val="24"/>
          <w:szCs w:val="24"/>
        </w:rPr>
        <w:t xml:space="preserve">Numerical features including attendance rate, academic scores, age, poverty proxy score, and district deprivation index are standardized using StandardScaler. Categorical features including gender, geographic zone, school feeding enrolment, and LEAP beneficiary status are one-hot encoded. Missing values are imputed using the median strategy for numerical features and the mode strategy for categorical features. The Synthetic Minority Over-sampling Technique (SMOTE) is applied exclusively to the training folds of each cross-validation split, with strict prevention of data leakage into validation or test partitions.</w:t>
      </w:r>
    </w:p>
    <w:p>
      <w:pPr>
        <w:pStyle w:val="Heading2"/>
        <w:spacing w:before="240" w:after="120"/>
      </w:pPr>
      <w:r>
        <w:rPr>
          <w:rFonts w:ascii="Times New Roman" w:cs="Times New Roman" w:eastAsia="Times New Roman" w:hAnsi="Times New Roman"/>
          <w:b/>
          <w:bCs/>
          <w:color w:val="000000"/>
          <w:sz w:val="24"/>
          <w:szCs w:val="24"/>
        </w:rPr>
        <w:t xml:space="preserve">3.4. Experimental Design and Evaluation Metrics</w:t>
      </w:r>
    </w:p>
    <w:p>
      <w:pPr>
        <w:spacing w:before="0" w:after="160" w:line="480" w:lineRule="auto"/>
        <w:jc w:val="both"/>
      </w:pPr>
      <w:r>
        <w:rPr>
          <w:rFonts w:ascii="Times New Roman" w:cs="Times New Roman" w:eastAsia="Times New Roman" w:hAnsi="Times New Roman"/>
          <w:color w:val="000000"/>
          <w:sz w:val="24"/>
          <w:szCs w:val="24"/>
        </w:rPr>
        <w:t xml:space="preserve">The dataset is partitioned using a stratified 70/15/15 train/validation/test split, stratified jointly by dropout label and geographic zone to preserve class and geographic distributions across all partitions. Model evaluation follows a five-fold stratified cross-validation protocol on the training partition, with final performance reported on the held-out test set. All metrics are reported as mean and standard deviation across five random seeds: 42, 123, 456, 789, and 1024.</w:t>
      </w:r>
    </w:p>
    <w:p>
      <w:pPr>
        <w:spacing w:before="0" w:after="160" w:line="480" w:lineRule="auto"/>
        <w:jc w:val="both"/>
      </w:pPr>
      <w:r>
        <w:rPr>
          <w:rFonts w:ascii="Times New Roman" w:cs="Times New Roman" w:eastAsia="Times New Roman" w:hAnsi="Times New Roman"/>
          <w:color w:val="000000"/>
          <w:sz w:val="24"/>
          <w:szCs w:val="24"/>
        </w:rPr>
        <w:t xml:space="preserve">The primary evaluation metrics are as follows. AUC-ROC serves as the primary classification metric appropriate for imbalanced dropout datasets. AUC-PR (Precision-Recall Curve) is more informative than ROC when the positive class is rare. Macro F1-Score balances precision and recall across imbalanced classes. Recall is prioritized to minimize the error of missing a genuinely at-risk pupil. Statistical significance of pairwise model comparisons is assessed using McNemar's test and the Wilcoxon signed-rank test at a significance level of 0.05, with 95% confidence intervals reported for all key comparisons. Algorithmic fairness is evaluated by calculating the Equal Opportunity gap and Equalized Odds gap across gender and geographic zone subgroups. Where any gap exceeds 5%, fairness-constrained retraining is recommended.</w:t>
      </w:r>
    </w:p>
    <w:p>
      <w:pPr>
        <w:spacing w:before="0" w:after="100"/>
      </w:pPr>
    </w:p>
    <w:p>
      <w:pPr>
        <w:spacing w:before="0" w:after="80"/>
      </w:pPr>
      <w:r>
        <w:rPr>
          <w:rFonts w:ascii="Times New Roman" w:cs="Times New Roman" w:eastAsia="Times New Roman" w:hAnsi="Times New Roman"/>
          <w:b/>
          <w:bCs/>
          <w:color w:val="000000"/>
          <w:sz w:val="22"/>
          <w:szCs w:val="22"/>
        </w:rPr>
        <w:t xml:space="preserve">Table 2. Model Performance Comparison (to be completed after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60"/>
        <w:gridCol w:w="1200"/>
        <w:gridCol w:w="1600"/>
      </w:tblGrid>
      <w:tr>
        <w:tc>
          <w:tcPr>
            <w:tcW w:type="dxa" w:w="26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Model</w:t>
            </w:r>
          </w:p>
        </w:tc>
        <w:tc>
          <w:tcPr>
            <w:tcW w:type="dxa" w:w="13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AUC-ROC</w:t>
            </w:r>
          </w:p>
        </w:tc>
        <w:tc>
          <w:tcPr>
            <w:tcW w:type="dxa" w:w="13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AUC-PR</w:t>
            </w:r>
          </w:p>
        </w:tc>
        <w:tc>
          <w:tcPr>
            <w:tcW w:type="dxa" w:w="136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Macro F1</w:t>
            </w:r>
          </w:p>
        </w:tc>
        <w:tc>
          <w:tcPr>
            <w:tcW w:type="dxa" w:w="12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Recall</w:t>
            </w:r>
          </w:p>
        </w:tc>
        <w:tc>
          <w:tcPr>
            <w:tcW w:type="dxa" w:w="16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p-value vs Ensemble</w:t>
            </w:r>
          </w:p>
        </w:tc>
      </w:tr>
      <w:tr>
        <w:tc>
          <w:tcPr>
            <w:tcW w:type="dxa" w:w="26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LightGBM-RF Ensemble (proposed)</w:t>
            </w:r>
          </w:p>
        </w:tc>
        <w:tc>
          <w:tcPr>
            <w:tcW w:type="dxa" w:w="13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6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26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LightGBM alone (ablation i)</w:t>
            </w:r>
          </w:p>
        </w:tc>
        <w:tc>
          <w:tcPr>
            <w:tcW w:type="dxa" w:w="13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6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6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26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XGBoost [4]</w:t>
            </w:r>
          </w:p>
        </w:tc>
        <w:tc>
          <w:tcPr>
            <w:tcW w:type="dxa" w:w="13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6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26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Random Forest [20]</w:t>
            </w:r>
          </w:p>
        </w:tc>
        <w:tc>
          <w:tcPr>
            <w:tcW w:type="dxa" w:w="13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6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6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26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Logistic Regression</w:t>
            </w:r>
          </w:p>
        </w:tc>
        <w:tc>
          <w:tcPr>
            <w:tcW w:type="dxa" w:w="13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6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26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Decision Tree</w:t>
            </w:r>
          </w:p>
        </w:tc>
        <w:tc>
          <w:tcPr>
            <w:tcW w:type="dxa" w:w="13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6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6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26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Mduma et al. [18]</w:t>
            </w:r>
          </w:p>
        </w:tc>
        <w:tc>
          <w:tcPr>
            <w:tcW w:type="dxa" w:w="13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6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26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Chango et al. [14]</w:t>
            </w:r>
          </w:p>
        </w:tc>
        <w:tc>
          <w:tcPr>
            <w:tcW w:type="dxa" w:w="13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6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6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26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Marcolino et al. [16]</w:t>
            </w:r>
          </w:p>
        </w:tc>
        <w:tc>
          <w:tcPr>
            <w:tcW w:type="dxa" w:w="13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6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bl>
    <w:p>
      <w:pPr>
        <w:spacing w:before="0" w:after="160"/>
      </w:pPr>
    </w:p>
    <w:p>
      <w:pPr>
        <w:spacing w:before="0" w:after="80"/>
      </w:pPr>
      <w:r>
        <w:rPr>
          <w:rFonts w:ascii="Times New Roman" w:cs="Times New Roman" w:eastAsia="Times New Roman" w:hAnsi="Times New Roman"/>
          <w:b/>
          <w:bCs/>
          <w:color w:val="000000"/>
          <w:sz w:val="22"/>
          <w:szCs w:val="22"/>
        </w:rPr>
        <w:t xml:space="preserve">Table 3. Fairness Evaluation Template (to be completed after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Model</w:t>
            </w:r>
          </w:p>
        </w:tc>
        <w:tc>
          <w:tcPr>
            <w:tcW w:type="dxa" w:w="174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EO Gap (Gender)</w:t>
            </w:r>
          </w:p>
        </w:tc>
        <w:tc>
          <w:tcPr>
            <w:tcW w:type="dxa" w:w="174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EOdds Gap (Gender)</w:t>
            </w:r>
          </w:p>
        </w:tc>
        <w:tc>
          <w:tcPr>
            <w:tcW w:type="dxa" w:w="174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EO Gap (Zone)</w:t>
            </w:r>
          </w:p>
        </w:tc>
        <w:tc>
          <w:tcPr>
            <w:tcW w:type="dxa" w:w="174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EOdds Gap (Zone)</w:t>
            </w:r>
          </w:p>
        </w:tc>
      </w:tr>
      <w:tr>
        <w:tc>
          <w:tcPr>
            <w:tcW w:type="dxa" w:w="24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LightGBM-RF Ensemble</w:t>
            </w:r>
          </w:p>
        </w:tc>
        <w:tc>
          <w:tcPr>
            <w:tcW w:type="dxa" w:w="174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74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74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74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24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XGBoost</w:t>
            </w:r>
          </w:p>
        </w:tc>
        <w:tc>
          <w:tcPr>
            <w:tcW w:type="dxa" w:w="174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74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74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74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24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Logistic Regression</w:t>
            </w:r>
          </w:p>
        </w:tc>
        <w:tc>
          <w:tcPr>
            <w:tcW w:type="dxa" w:w="174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74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74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74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bl>
    <w:p>
      <w:pPr>
        <w:spacing w:before="0" w:after="160"/>
      </w:pPr>
    </w:p>
    <w:p>
      <w:pPr>
        <w:spacing w:before="0" w:after="80"/>
      </w:pPr>
      <w:r>
        <w:rPr>
          <w:rFonts w:ascii="Times New Roman" w:cs="Times New Roman" w:eastAsia="Times New Roman" w:hAnsi="Times New Roman"/>
          <w:b/>
          <w:bCs/>
          <w:color w:val="000000"/>
          <w:sz w:val="22"/>
          <w:szCs w:val="22"/>
        </w:rPr>
        <w:t xml:space="preserve">Table 4. Ablation Study Template (to be completed after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90"/>
        <w:gridCol w:w="1290"/>
        <w:gridCol w:w="1290"/>
        <w:gridCol w:w="2090"/>
      </w:tblGrid>
      <w:tr>
        <w:tc>
          <w:tcPr>
            <w:tcW w:type="dxa" w:w="34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Configuration</w:t>
            </w:r>
          </w:p>
        </w:tc>
        <w:tc>
          <w:tcPr>
            <w:tcW w:type="dxa" w:w="129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AUC-ROC</w:t>
            </w:r>
          </w:p>
        </w:tc>
        <w:tc>
          <w:tcPr>
            <w:tcW w:type="dxa" w:w="129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AUC-PR</w:t>
            </w:r>
          </w:p>
        </w:tc>
        <w:tc>
          <w:tcPr>
            <w:tcW w:type="dxa" w:w="129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Macro F1</w:t>
            </w:r>
          </w:p>
        </w:tc>
        <w:tc>
          <w:tcPr>
            <w:tcW w:type="dxa" w:w="209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p-value vs Full Ensemble</w:t>
            </w:r>
          </w:p>
        </w:tc>
      </w:tr>
      <w:tr>
        <w:tc>
          <w:tcPr>
            <w:tcW w:type="dxa" w:w="34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Full LightGBM-RF Ensemble (all components)</w:t>
            </w:r>
          </w:p>
        </w:tc>
        <w:tc>
          <w:tcPr>
            <w:tcW w:type="dxa" w:w="129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9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9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209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34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(i) LightGBM alone, no RF</w:t>
            </w:r>
          </w:p>
        </w:tc>
        <w:tc>
          <w:tcPr>
            <w:tcW w:type="dxa" w:w="129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9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9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209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34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(ii) No SHAP layer</w:t>
            </w:r>
          </w:p>
        </w:tc>
        <w:tc>
          <w:tcPr>
            <w:tcW w:type="dxa" w:w="129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9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9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209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340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(iii) No socioeconomic features</w:t>
            </w:r>
          </w:p>
        </w:tc>
        <w:tc>
          <w:tcPr>
            <w:tcW w:type="dxa" w:w="129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9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9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2090"/>
            <w:tcBorders>
              <w:top w:val="single" w:color="2E4057" w:sz="4"/>
              <w:left w:val="single" w:color="2E4057" w:sz="4"/>
              <w:bottom w:val="single" w:color="2E4057" w:sz="4"/>
              <w:right w:val="single" w:color="2E4057" w:sz="4"/>
            </w:tcBorders>
            <w:shd w:fill="EEF2F7"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r>
        <w:tc>
          <w:tcPr>
            <w:tcW w:type="dxa" w:w="340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(iv) Real data only, no CTGAN</w:t>
            </w:r>
          </w:p>
        </w:tc>
        <w:tc>
          <w:tcPr>
            <w:tcW w:type="dxa" w:w="129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9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129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c>
          <w:tcPr>
            <w:tcW w:type="dxa" w:w="2090"/>
            <w:tcBorders>
              <w:top w:val="single" w:color="2E4057" w:sz="4"/>
              <w:left w:val="single" w:color="2E4057" w:sz="4"/>
              <w:bottom w:val="single" w:color="2E4057" w:sz="4"/>
              <w:right w:val="single" w:color="2E4057"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2"/>
                <w:szCs w:val="22"/>
              </w:rPr>
              <w:t xml:space="preserve">--</w:t>
            </w:r>
          </w:p>
        </w:tc>
      </w:tr>
    </w:tbl>
    <w:p>
      <w:pPr>
        <w:spacing w:before="0" w:after="200"/>
      </w:pPr>
    </w:p>
    <w:p>
      <w:pPr>
        <w:pStyle w:val="Heading2"/>
        <w:spacing w:before="240" w:after="120"/>
      </w:pPr>
      <w:r>
        <w:rPr>
          <w:rFonts w:ascii="Times New Roman" w:cs="Times New Roman" w:eastAsia="Times New Roman" w:hAnsi="Times New Roman"/>
          <w:b/>
          <w:bCs/>
          <w:color w:val="000000"/>
          <w:sz w:val="24"/>
          <w:szCs w:val="24"/>
        </w:rPr>
        <w:t xml:space="preserve">3.5. Ethical Considerations</w:t>
      </w:r>
    </w:p>
    <w:p>
      <w:pPr>
        <w:spacing w:before="0" w:after="160" w:line="480" w:lineRule="auto"/>
        <w:jc w:val="both"/>
      </w:pPr>
      <w:r>
        <w:rPr>
          <w:rFonts w:ascii="Times New Roman" w:cs="Times New Roman" w:eastAsia="Times New Roman" w:hAnsi="Times New Roman"/>
          <w:color w:val="000000"/>
          <w:sz w:val="24"/>
          <w:szCs w:val="24"/>
        </w:rPr>
        <w:t xml:space="preserve">This study collects new administrative data involving minors and school records; ethical clearance is therefore required prior to any data collection. The study has been submitted to the KNUST Committee on Human Research, Publications and Ethics (CHRPE) under the Social Science category (Reference No.: to be inserted upon receipt). Data collection will not commence until written CHRPE approval is confirmed.</w:t>
      </w:r>
    </w:p>
    <w:p>
      <w:pPr>
        <w:spacing w:before="0" w:after="160" w:line="480" w:lineRule="auto"/>
        <w:jc w:val="both"/>
      </w:pPr>
      <w:r>
        <w:rPr>
          <w:rFonts w:ascii="Times New Roman" w:cs="Times New Roman" w:eastAsia="Times New Roman" w:hAnsi="Times New Roman"/>
          <w:color w:val="000000"/>
          <w:sz w:val="24"/>
          <w:szCs w:val="24"/>
        </w:rPr>
        <w:t xml:space="preserve">Written informed consent is obtained from parents or guardians of all participating pupils; pupil assent is additionally obtained for children aged 10 and above. Formal authorization has been sought from headteachers and GES district directors at all participating schools. All pupil identifiers are replaced with anonymized study codes prior to any modelling or analysis, and no personally identifiable information is retained in the analysis dataset. Data are stored on an encrypted, access-controlled institutional Google Drive restricted to the named research team. All findings are presented at aggregate or anonymized individual levels. The study complies fully with the Ghana Data Protection Act (2012). Upon receipt of CHRPE approval, the following statement will be included: "This study was approved by the KNUST Committee on Human Research, Publications and Ethics (CHRPE), Reference No: [to insert]. All data were collected with informed consent and anonymized in compliance with the Ghana Data Protection Act (2012)."</w:t>
      </w:r>
    </w:p>
    <w:p>
      <w:pPr>
        <w:pStyle w:val="Heading1"/>
        <w:spacing w:before="320" w:after="160"/>
      </w:pPr>
      <w:r>
        <w:rPr>
          <w:rFonts w:ascii="Times New Roman" w:cs="Times New Roman" w:eastAsia="Times New Roman" w:hAnsi="Times New Roman"/>
          <w:b/>
          <w:bCs/>
          <w:color w:val="000000"/>
          <w:sz w:val="28"/>
          <w:szCs w:val="28"/>
        </w:rPr>
        <w:t xml:space="preserve">References</w:t>
      </w:r>
    </w:p>
    <w:p>
      <w:pPr>
        <w:spacing w:before="0" w:after="160" w:line="480" w:lineRule="auto"/>
        <w:jc w:val="both"/>
      </w:pPr>
      <w:r>
        <w:rPr>
          <w:rFonts w:ascii="Times New Roman" w:cs="Times New Roman" w:eastAsia="Times New Roman" w:hAnsi="Times New Roman"/>
          <w:color w:val="000000"/>
          <w:sz w:val="24"/>
          <w:szCs w:val="24"/>
        </w:rPr>
        <w:t xml:space="preserve">[1] UNESCO. (2023). </w:t>
      </w:r>
      <w:r>
        <w:rPr>
          <w:rFonts w:ascii="Times New Roman" w:cs="Times New Roman" w:eastAsia="Times New Roman" w:hAnsi="Times New Roman"/>
          <w:i/>
          <w:iCs/>
          <w:color w:val="000000"/>
          <w:sz w:val="24"/>
          <w:szCs w:val="24"/>
        </w:rPr>
        <w:t xml:space="preserve">Global education monitoring report 2023: Technology in education.</w:t>
      </w:r>
      <w:r>
        <w:rPr>
          <w:rFonts w:ascii="Times New Roman" w:cs="Times New Roman" w:eastAsia="Times New Roman" w:hAnsi="Times New Roman"/>
          <w:color w:val="000000"/>
          <w:sz w:val="24"/>
          <w:szCs w:val="24"/>
        </w:rPr>
        <w:t xml:space="preserve"> UNESCO Publishing.</w:t>
      </w:r>
    </w:p>
    <w:p>
      <w:pPr>
        <w:spacing w:before="0" w:after="160" w:line="480" w:lineRule="auto"/>
        <w:jc w:val="both"/>
      </w:pPr>
      <w:r>
        <w:rPr>
          <w:rFonts w:ascii="Times New Roman" w:cs="Times New Roman" w:eastAsia="Times New Roman" w:hAnsi="Times New Roman"/>
          <w:color w:val="000000"/>
          <w:sz w:val="24"/>
          <w:szCs w:val="24"/>
        </w:rPr>
        <w:t xml:space="preserve">[2] Ministry of Education, Ghana. (2022). </w:t>
      </w:r>
      <w:r>
        <w:rPr>
          <w:rFonts w:ascii="Times New Roman" w:cs="Times New Roman" w:eastAsia="Times New Roman" w:hAnsi="Times New Roman"/>
          <w:i/>
          <w:iCs/>
          <w:color w:val="000000"/>
          <w:sz w:val="24"/>
          <w:szCs w:val="24"/>
        </w:rPr>
        <w:t xml:space="preserve">Education sector annual performance report 2022.</w:t>
      </w:r>
      <w:r>
        <w:rPr>
          <w:rFonts w:ascii="Times New Roman" w:cs="Times New Roman" w:eastAsia="Times New Roman" w:hAnsi="Times New Roman"/>
          <w:color w:val="000000"/>
          <w:sz w:val="24"/>
          <w:szCs w:val="24"/>
        </w:rPr>
        <w:t xml:space="preserve"> Ghana Education Service.</w:t>
      </w:r>
    </w:p>
    <w:p>
      <w:pPr>
        <w:spacing w:before="0" w:after="160" w:line="480" w:lineRule="auto"/>
        <w:jc w:val="both"/>
      </w:pPr>
      <w:r>
        <w:rPr>
          <w:rFonts w:ascii="Times New Roman" w:cs="Times New Roman" w:eastAsia="Times New Roman" w:hAnsi="Times New Roman"/>
          <w:color w:val="000000"/>
          <w:sz w:val="24"/>
          <w:szCs w:val="24"/>
        </w:rPr>
        <w:t xml:space="preserve">[3] Psaki, S., McCarthy, K., &amp; Mensch, B. (2022). Measuring and understanding gender differences in dropout in LMICs. </w:t>
      </w:r>
      <w:r>
        <w:rPr>
          <w:rFonts w:ascii="Times New Roman" w:cs="Times New Roman" w:eastAsia="Times New Roman" w:hAnsi="Times New Roman"/>
          <w:i/>
          <w:iCs/>
          <w:color w:val="000000"/>
          <w:sz w:val="24"/>
          <w:szCs w:val="24"/>
        </w:rPr>
        <w:t xml:space="preserve">International Journal of Educational Development</w:t>
      </w:r>
      <w:r>
        <w:rPr>
          <w:rFonts w:ascii="Times New Roman" w:cs="Times New Roman" w:eastAsia="Times New Roman" w:hAnsi="Times New Roman"/>
          <w:color w:val="000000"/>
          <w:sz w:val="24"/>
          <w:szCs w:val="24"/>
        </w:rPr>
        <w:t xml:space="preserve">, 88, 102608. https://doi.org/10.1016/j.ijedudev.2022.102608</w:t>
      </w:r>
    </w:p>
    <w:p>
      <w:pPr>
        <w:spacing w:before="0" w:after="160" w:line="480" w:lineRule="auto"/>
        <w:jc w:val="both"/>
      </w:pPr>
      <w:r>
        <w:rPr>
          <w:rFonts w:ascii="Times New Roman" w:cs="Times New Roman" w:eastAsia="Times New Roman" w:hAnsi="Times New Roman"/>
          <w:color w:val="000000"/>
          <w:sz w:val="24"/>
          <w:szCs w:val="24"/>
        </w:rPr>
        <w:t xml:space="preserve">[4] Chen, T., &amp; Guestrin, C. (2016). XGBoost: A scalable tree boosting system. </w:t>
      </w:r>
      <w:r>
        <w:rPr>
          <w:rFonts w:ascii="Times New Roman" w:cs="Times New Roman" w:eastAsia="Times New Roman" w:hAnsi="Times New Roman"/>
          <w:i/>
          <w:iCs/>
          <w:color w:val="000000"/>
          <w:sz w:val="24"/>
          <w:szCs w:val="24"/>
        </w:rPr>
        <w:t xml:space="preserve">Proceedings of the 22nd ACM SIGKDD International Conference on Knowledge Discovery and Data Mining</w:t>
      </w:r>
      <w:r>
        <w:rPr>
          <w:rFonts w:ascii="Times New Roman" w:cs="Times New Roman" w:eastAsia="Times New Roman" w:hAnsi="Times New Roman"/>
          <w:color w:val="000000"/>
          <w:sz w:val="24"/>
          <w:szCs w:val="24"/>
        </w:rPr>
        <w:t xml:space="preserve">, 785-794. https://doi.org/10.1145/2939672.2939785</w:t>
      </w:r>
    </w:p>
    <w:p>
      <w:pPr>
        <w:spacing w:before="0" w:after="160" w:line="480" w:lineRule="auto"/>
        <w:jc w:val="both"/>
      </w:pPr>
      <w:r>
        <w:rPr>
          <w:rFonts w:ascii="Times New Roman" w:cs="Times New Roman" w:eastAsia="Times New Roman" w:hAnsi="Times New Roman"/>
          <w:color w:val="000000"/>
          <w:sz w:val="24"/>
          <w:szCs w:val="24"/>
        </w:rPr>
        <w:t xml:space="preserve">[5] Adekitan, A. I., &amp; Salau, O. (2019). The impact of engineering students' performance on graduation using educational data mining. </w:t>
      </w:r>
      <w:r>
        <w:rPr>
          <w:rFonts w:ascii="Times New Roman" w:cs="Times New Roman" w:eastAsia="Times New Roman" w:hAnsi="Times New Roman"/>
          <w:i/>
          <w:iCs/>
          <w:color w:val="000000"/>
          <w:sz w:val="24"/>
          <w:szCs w:val="24"/>
        </w:rPr>
        <w:t xml:space="preserve">Heliyon</w:t>
      </w:r>
      <w:r>
        <w:rPr>
          <w:rFonts w:ascii="Times New Roman" w:cs="Times New Roman" w:eastAsia="Times New Roman" w:hAnsi="Times New Roman"/>
          <w:color w:val="000000"/>
          <w:sz w:val="24"/>
          <w:szCs w:val="24"/>
        </w:rPr>
        <w:t xml:space="preserve">, 5(2), e01250. https://doi.org/10.1016/j.heliyon.2019.e01250</w:t>
      </w:r>
    </w:p>
    <w:p>
      <w:pPr>
        <w:spacing w:before="0" w:after="160" w:line="480" w:lineRule="auto"/>
        <w:jc w:val="both"/>
      </w:pPr>
      <w:r>
        <w:rPr>
          <w:rFonts w:ascii="Times New Roman" w:cs="Times New Roman" w:eastAsia="Times New Roman" w:hAnsi="Times New Roman"/>
          <w:color w:val="000000"/>
          <w:sz w:val="24"/>
          <w:szCs w:val="24"/>
        </w:rPr>
        <w:t xml:space="preserve">[6] Kabathova, J., &amp; Drlik, M. (2021). Towards predicting students' dropout using different ML techniques. </w:t>
      </w:r>
      <w:r>
        <w:rPr>
          <w:rFonts w:ascii="Times New Roman" w:cs="Times New Roman" w:eastAsia="Times New Roman" w:hAnsi="Times New Roman"/>
          <w:i/>
          <w:iCs/>
          <w:color w:val="000000"/>
          <w:sz w:val="24"/>
          <w:szCs w:val="24"/>
        </w:rPr>
        <w:t xml:space="preserve">Applied Sciences</w:t>
      </w:r>
      <w:r>
        <w:rPr>
          <w:rFonts w:ascii="Times New Roman" w:cs="Times New Roman" w:eastAsia="Times New Roman" w:hAnsi="Times New Roman"/>
          <w:color w:val="000000"/>
          <w:sz w:val="24"/>
          <w:szCs w:val="24"/>
        </w:rPr>
        <w:t xml:space="preserve">, 11(7), 3130. https://doi.org/10.3390/app11073130</w:t>
      </w:r>
    </w:p>
    <w:p>
      <w:pPr>
        <w:spacing w:before="0" w:after="160" w:line="480" w:lineRule="auto"/>
        <w:jc w:val="both"/>
      </w:pPr>
      <w:r>
        <w:rPr>
          <w:rFonts w:ascii="Times New Roman" w:cs="Times New Roman" w:eastAsia="Times New Roman" w:hAnsi="Times New Roman"/>
          <w:color w:val="000000"/>
          <w:sz w:val="24"/>
          <w:szCs w:val="24"/>
        </w:rPr>
        <w:t xml:space="preserve">[7] Namoun, A., &amp; Alshanqiti, A. (2021). Predicting student performance using data mining and learning analytics. </w:t>
      </w:r>
      <w:r>
        <w:rPr>
          <w:rFonts w:ascii="Times New Roman" w:cs="Times New Roman" w:eastAsia="Times New Roman" w:hAnsi="Times New Roman"/>
          <w:i/>
          <w:iCs/>
          <w:color w:val="000000"/>
          <w:sz w:val="24"/>
          <w:szCs w:val="24"/>
        </w:rPr>
        <w:t xml:space="preserve">Applied Sciences</w:t>
      </w:r>
      <w:r>
        <w:rPr>
          <w:rFonts w:ascii="Times New Roman" w:cs="Times New Roman" w:eastAsia="Times New Roman" w:hAnsi="Times New Roman"/>
          <w:color w:val="000000"/>
          <w:sz w:val="24"/>
          <w:szCs w:val="24"/>
        </w:rPr>
        <w:t xml:space="preserve">, 11(1), 237. https://doi.org/10.3390/app11010237</w:t>
      </w:r>
    </w:p>
    <w:p>
      <w:pPr>
        <w:spacing w:before="0" w:after="160" w:line="480" w:lineRule="auto"/>
        <w:jc w:val="both"/>
      </w:pPr>
      <w:r>
        <w:rPr>
          <w:rFonts w:ascii="Times New Roman" w:cs="Times New Roman" w:eastAsia="Times New Roman" w:hAnsi="Times New Roman"/>
          <w:color w:val="000000"/>
          <w:sz w:val="24"/>
          <w:szCs w:val="24"/>
        </w:rPr>
        <w:t xml:space="preserve">[8] Lundberg, S. M., &amp; Lee, S. I. (2017). A unified approach to interpreting model predictions. </w:t>
      </w:r>
      <w:r>
        <w:rPr>
          <w:rFonts w:ascii="Times New Roman" w:cs="Times New Roman" w:eastAsia="Times New Roman" w:hAnsi="Times New Roman"/>
          <w:i/>
          <w:iCs/>
          <w:color w:val="000000"/>
          <w:sz w:val="24"/>
          <w:szCs w:val="24"/>
        </w:rPr>
        <w:t xml:space="preserve">Advances in Neural Information Processing Systems</w:t>
      </w:r>
      <w:r>
        <w:rPr>
          <w:rFonts w:ascii="Times New Roman" w:cs="Times New Roman" w:eastAsia="Times New Roman" w:hAnsi="Times New Roman"/>
          <w:color w:val="000000"/>
          <w:sz w:val="24"/>
          <w:szCs w:val="24"/>
        </w:rPr>
        <w:t xml:space="preserve">, 30. https://doi.org/10.48550/arXiv.1705.07874</w:t>
      </w:r>
    </w:p>
    <w:p>
      <w:pPr>
        <w:spacing w:before="0" w:after="160" w:line="480" w:lineRule="auto"/>
        <w:jc w:val="both"/>
      </w:pPr>
      <w:r>
        <w:rPr>
          <w:rFonts w:ascii="Times New Roman" w:cs="Times New Roman" w:eastAsia="Times New Roman" w:hAnsi="Times New Roman"/>
          <w:color w:val="000000"/>
          <w:sz w:val="24"/>
          <w:szCs w:val="24"/>
        </w:rPr>
        <w:t xml:space="preserve">[9] Kizilcec, R. F., &amp; Lee, H. (2022). Algorithmic fairness in education. In C. Lang et al. (Eds.), </w:t>
      </w:r>
      <w:r>
        <w:rPr>
          <w:rFonts w:ascii="Times New Roman" w:cs="Times New Roman" w:eastAsia="Times New Roman" w:hAnsi="Times New Roman"/>
          <w:i/>
          <w:iCs/>
          <w:color w:val="000000"/>
          <w:sz w:val="24"/>
          <w:szCs w:val="24"/>
        </w:rPr>
        <w:t xml:space="preserve">The Handbook of Learning Analytics</w:t>
      </w:r>
      <w:r>
        <w:rPr>
          <w:rFonts w:ascii="Times New Roman" w:cs="Times New Roman" w:eastAsia="Times New Roman" w:hAnsi="Times New Roman"/>
          <w:color w:val="000000"/>
          <w:sz w:val="24"/>
          <w:szCs w:val="24"/>
        </w:rPr>
        <w:t xml:space="preserve"> (2nd ed., pp. 167-177). SOLAR. https://doi.org/10.18608/hla22.018</w:t>
      </w:r>
    </w:p>
    <w:p>
      <w:pPr>
        <w:spacing w:before="0" w:after="160" w:line="480" w:lineRule="auto"/>
        <w:jc w:val="both"/>
      </w:pPr>
      <w:r>
        <w:rPr>
          <w:rFonts w:ascii="Times New Roman" w:cs="Times New Roman" w:eastAsia="Times New Roman" w:hAnsi="Times New Roman"/>
          <w:color w:val="000000"/>
          <w:sz w:val="24"/>
          <w:szCs w:val="24"/>
        </w:rPr>
        <w:t xml:space="preserve">[10] Baker, R. S., &amp; Hawn, A. (2022). Algorithmic bias in education. </w:t>
      </w:r>
      <w:r>
        <w:rPr>
          <w:rFonts w:ascii="Times New Roman" w:cs="Times New Roman" w:eastAsia="Times New Roman" w:hAnsi="Times New Roman"/>
          <w:i/>
          <w:iCs/>
          <w:color w:val="000000"/>
          <w:sz w:val="24"/>
          <w:szCs w:val="24"/>
        </w:rPr>
        <w:t xml:space="preserve">Journal of Learning Analytics</w:t>
      </w:r>
      <w:r>
        <w:rPr>
          <w:rFonts w:ascii="Times New Roman" w:cs="Times New Roman" w:eastAsia="Times New Roman" w:hAnsi="Times New Roman"/>
          <w:color w:val="000000"/>
          <w:sz w:val="24"/>
          <w:szCs w:val="24"/>
        </w:rPr>
        <w:t xml:space="preserve">, 9(2), 1-23. https://doi.org/10.18608/jla.2022.7615</w:t>
      </w:r>
    </w:p>
    <w:p>
      <w:pPr>
        <w:spacing w:before="0" w:after="160" w:line="480" w:lineRule="auto"/>
        <w:jc w:val="both"/>
      </w:pPr>
      <w:r>
        <w:rPr>
          <w:rFonts w:ascii="Times New Roman" w:cs="Times New Roman" w:eastAsia="Times New Roman" w:hAnsi="Times New Roman"/>
          <w:color w:val="000000"/>
          <w:sz w:val="24"/>
          <w:szCs w:val="24"/>
        </w:rPr>
        <w:t xml:space="preserve">[11] Adewoyin, Y., &amp; Igboeli, G. (2022). AI for equity in African education: Challenges and opportunities. </w:t>
      </w:r>
      <w:r>
        <w:rPr>
          <w:rFonts w:ascii="Times New Roman" w:cs="Times New Roman" w:eastAsia="Times New Roman" w:hAnsi="Times New Roman"/>
          <w:i/>
          <w:iCs/>
          <w:color w:val="000000"/>
          <w:sz w:val="24"/>
          <w:szCs w:val="24"/>
        </w:rPr>
        <w:t xml:space="preserve">AI &amp; Society</w:t>
      </w:r>
      <w:r>
        <w:rPr>
          <w:rFonts w:ascii="Times New Roman" w:cs="Times New Roman" w:eastAsia="Times New Roman" w:hAnsi="Times New Roman"/>
          <w:color w:val="000000"/>
          <w:sz w:val="24"/>
          <w:szCs w:val="24"/>
        </w:rPr>
        <w:t xml:space="preserve">. https://doi.org/10.1007/s00146-022-01416-1</w:t>
      </w:r>
    </w:p>
    <w:p>
      <w:pPr>
        <w:spacing w:before="0" w:after="160" w:line="480" w:lineRule="auto"/>
        <w:jc w:val="both"/>
      </w:pPr>
      <w:r>
        <w:rPr>
          <w:rFonts w:ascii="Times New Roman" w:cs="Times New Roman" w:eastAsia="Times New Roman" w:hAnsi="Times New Roman"/>
          <w:color w:val="000000"/>
          <w:sz w:val="24"/>
          <w:szCs w:val="24"/>
        </w:rPr>
        <w:t xml:space="preserve">[12] Bronfenbrenner, U. (1979). </w:t>
      </w:r>
      <w:r>
        <w:rPr>
          <w:rFonts w:ascii="Times New Roman" w:cs="Times New Roman" w:eastAsia="Times New Roman" w:hAnsi="Times New Roman"/>
          <w:i/>
          <w:iCs/>
          <w:color w:val="000000"/>
          <w:sz w:val="24"/>
          <w:szCs w:val="24"/>
        </w:rPr>
        <w:t xml:space="preserve">The ecology of human development: Experiments by nature and design.</w:t>
      </w:r>
      <w:r>
        <w:rPr>
          <w:rFonts w:ascii="Times New Roman" w:cs="Times New Roman" w:eastAsia="Times New Roman" w:hAnsi="Times New Roman"/>
          <w:color w:val="000000"/>
          <w:sz w:val="24"/>
          <w:szCs w:val="24"/>
        </w:rPr>
        <w:t xml:space="preserve"> Harvard University Press.</w:t>
      </w:r>
    </w:p>
    <w:p>
      <w:pPr>
        <w:spacing w:before="0" w:after="160" w:line="480" w:lineRule="auto"/>
        <w:jc w:val="both"/>
      </w:pPr>
      <w:r>
        <w:rPr>
          <w:rFonts w:ascii="Times New Roman" w:cs="Times New Roman" w:eastAsia="Times New Roman" w:hAnsi="Times New Roman"/>
          <w:color w:val="000000"/>
          <w:sz w:val="24"/>
          <w:szCs w:val="24"/>
        </w:rPr>
        <w:t xml:space="preserve">[13] Deci, E. L., &amp; Ryan, R. M. (1985). </w:t>
      </w:r>
      <w:r>
        <w:rPr>
          <w:rFonts w:ascii="Times New Roman" w:cs="Times New Roman" w:eastAsia="Times New Roman" w:hAnsi="Times New Roman"/>
          <w:i/>
          <w:iCs/>
          <w:color w:val="000000"/>
          <w:sz w:val="24"/>
          <w:szCs w:val="24"/>
        </w:rPr>
        <w:t xml:space="preserve">Intrinsic motivation and self-determination in human behavior.</w:t>
      </w:r>
      <w:r>
        <w:rPr>
          <w:rFonts w:ascii="Times New Roman" w:cs="Times New Roman" w:eastAsia="Times New Roman" w:hAnsi="Times New Roman"/>
          <w:color w:val="000000"/>
          <w:sz w:val="24"/>
          <w:szCs w:val="24"/>
        </w:rPr>
        <w:t xml:space="preserve"> Springer.</w:t>
      </w:r>
    </w:p>
    <w:p>
      <w:pPr>
        <w:spacing w:before="0" w:after="160" w:line="480" w:lineRule="auto"/>
        <w:jc w:val="both"/>
      </w:pPr>
      <w:r>
        <w:rPr>
          <w:rFonts w:ascii="Times New Roman" w:cs="Times New Roman" w:eastAsia="Times New Roman" w:hAnsi="Times New Roman"/>
          <w:color w:val="000000"/>
          <w:sz w:val="24"/>
          <w:szCs w:val="24"/>
        </w:rPr>
        <w:t xml:space="preserve">[14] Chango, W., Lara, J. A., Cerezo, R., &amp; Romero, C. (2021). Improving prediction of students at risk of academic failure using multi-source data and MLP neural networks. </w:t>
      </w:r>
      <w:r>
        <w:rPr>
          <w:rFonts w:ascii="Times New Roman" w:cs="Times New Roman" w:eastAsia="Times New Roman" w:hAnsi="Times New Roman"/>
          <w:i/>
          <w:iCs/>
          <w:color w:val="000000"/>
          <w:sz w:val="24"/>
          <w:szCs w:val="24"/>
        </w:rPr>
        <w:t xml:space="preserve">Future Generation Computer Systems</w:t>
      </w:r>
      <w:r>
        <w:rPr>
          <w:rFonts w:ascii="Times New Roman" w:cs="Times New Roman" w:eastAsia="Times New Roman" w:hAnsi="Times New Roman"/>
          <w:color w:val="000000"/>
          <w:sz w:val="24"/>
          <w:szCs w:val="24"/>
        </w:rPr>
        <w:t xml:space="preserve">, 115, 479-491. https://doi.org/10.1016/j.future.2021.07.013</w:t>
      </w:r>
    </w:p>
    <w:p>
      <w:pPr>
        <w:spacing w:before="0" w:after="160" w:line="480" w:lineRule="auto"/>
        <w:jc w:val="both"/>
      </w:pPr>
      <w:r>
        <w:rPr>
          <w:rFonts w:ascii="Times New Roman" w:cs="Times New Roman" w:eastAsia="Times New Roman" w:hAnsi="Times New Roman"/>
          <w:color w:val="000000"/>
          <w:sz w:val="24"/>
          <w:szCs w:val="24"/>
        </w:rPr>
        <w:t xml:space="preserve">[15] Ke, G., Meng, Q., Finley, T., Wang, T., Chen, W., Ma, W., Ye, Q., &amp; Liu, T.-Y. (2017). LightGBM: A highly efficient gradient boosting decision tree. </w:t>
      </w:r>
      <w:r>
        <w:rPr>
          <w:rFonts w:ascii="Times New Roman" w:cs="Times New Roman" w:eastAsia="Times New Roman" w:hAnsi="Times New Roman"/>
          <w:i/>
          <w:iCs/>
          <w:color w:val="000000"/>
          <w:sz w:val="24"/>
          <w:szCs w:val="24"/>
        </w:rPr>
        <w:t xml:space="preserve">Advances in Neural Information Processing Systems</w:t>
      </w:r>
      <w:r>
        <w:rPr>
          <w:rFonts w:ascii="Times New Roman" w:cs="Times New Roman" w:eastAsia="Times New Roman" w:hAnsi="Times New Roman"/>
          <w:color w:val="000000"/>
          <w:sz w:val="24"/>
          <w:szCs w:val="24"/>
        </w:rPr>
        <w:t xml:space="preserve">, 30. https://doi.org/10.48550/arXiv.1711.08766</w:t>
      </w:r>
    </w:p>
    <w:p>
      <w:pPr>
        <w:spacing w:before="0" w:after="160" w:line="480" w:lineRule="auto"/>
        <w:jc w:val="both"/>
      </w:pPr>
      <w:r>
        <w:rPr>
          <w:rFonts w:ascii="Times New Roman" w:cs="Times New Roman" w:eastAsia="Times New Roman" w:hAnsi="Times New Roman"/>
          <w:color w:val="000000"/>
          <w:sz w:val="24"/>
          <w:szCs w:val="24"/>
        </w:rPr>
        <w:t xml:space="preserve">[16] Marcolino, A. S., de Mello, R. F., &amp; Wives, L. K. (2025). Predicting student dropout using CatBoost and SHAP explainability: A benchmark study. </w:t>
      </w:r>
      <w:r>
        <w:rPr>
          <w:rFonts w:ascii="Times New Roman" w:cs="Times New Roman" w:eastAsia="Times New Roman" w:hAnsi="Times New Roman"/>
          <w:i/>
          <w:iCs/>
          <w:color w:val="000000"/>
          <w:sz w:val="24"/>
          <w:szCs w:val="24"/>
        </w:rPr>
        <w:t xml:space="preserve">Scientific Reports</w:t>
      </w:r>
      <w:r>
        <w:rPr>
          <w:rFonts w:ascii="Times New Roman" w:cs="Times New Roman" w:eastAsia="Times New Roman" w:hAnsi="Times New Roman"/>
          <w:color w:val="000000"/>
          <w:sz w:val="24"/>
          <w:szCs w:val="24"/>
        </w:rPr>
        <w:t xml:space="preserve">, 15, 9840. https://doi.org/10.1038/s41598-025-09840-x</w:t>
      </w:r>
    </w:p>
    <w:p>
      <w:pPr>
        <w:spacing w:before="0" w:after="160" w:line="480" w:lineRule="auto"/>
        <w:jc w:val="both"/>
      </w:pPr>
      <w:r>
        <w:rPr>
          <w:rFonts w:ascii="Times New Roman" w:cs="Times New Roman" w:eastAsia="Times New Roman" w:hAnsi="Times New Roman"/>
          <w:color w:val="000000"/>
          <w:sz w:val="24"/>
          <w:szCs w:val="24"/>
        </w:rPr>
        <w:t xml:space="preserve">[17] Fernandez-Garcia, A. J., et al. (2022). A systematic review of machine learning techniques for student dropout prediction. </w:t>
      </w:r>
      <w:r>
        <w:rPr>
          <w:rFonts w:ascii="Times New Roman" w:cs="Times New Roman" w:eastAsia="Times New Roman" w:hAnsi="Times New Roman"/>
          <w:i/>
          <w:iCs/>
          <w:color w:val="000000"/>
          <w:sz w:val="24"/>
          <w:szCs w:val="24"/>
        </w:rPr>
        <w:t xml:space="preserve">IEEE Access</w:t>
      </w:r>
      <w:r>
        <w:rPr>
          <w:rFonts w:ascii="Times New Roman" w:cs="Times New Roman" w:eastAsia="Times New Roman" w:hAnsi="Times New Roman"/>
          <w:color w:val="000000"/>
          <w:sz w:val="24"/>
          <w:szCs w:val="24"/>
        </w:rPr>
        <w:t xml:space="preserve">, 10, 33742-33762. https://doi.org/10.1109/ACCESS.2022.3161757</w:t>
      </w:r>
    </w:p>
    <w:p>
      <w:pPr>
        <w:spacing w:before="0" w:after="160" w:line="480" w:lineRule="auto"/>
        <w:jc w:val="both"/>
      </w:pPr>
      <w:r>
        <w:rPr>
          <w:rFonts w:ascii="Times New Roman" w:cs="Times New Roman" w:eastAsia="Times New Roman" w:hAnsi="Times New Roman"/>
          <w:color w:val="000000"/>
          <w:sz w:val="24"/>
          <w:szCs w:val="24"/>
        </w:rPr>
        <w:t xml:space="preserve">[18] Mduma, N., Kalegele, K., &amp; Machuve, D. (2023). Machine learning approaches for student dropout prediction in sub-Saharan Africa. </w:t>
      </w:r>
      <w:r>
        <w:rPr>
          <w:rFonts w:ascii="Times New Roman" w:cs="Times New Roman" w:eastAsia="Times New Roman" w:hAnsi="Times New Roman"/>
          <w:i/>
          <w:iCs/>
          <w:color w:val="000000"/>
          <w:sz w:val="24"/>
          <w:szCs w:val="24"/>
        </w:rPr>
        <w:t xml:space="preserve">Education and Information Technologies</w:t>
      </w:r>
      <w:r>
        <w:rPr>
          <w:rFonts w:ascii="Times New Roman" w:cs="Times New Roman" w:eastAsia="Times New Roman" w:hAnsi="Times New Roman"/>
          <w:color w:val="000000"/>
          <w:sz w:val="24"/>
          <w:szCs w:val="24"/>
        </w:rPr>
        <w:t xml:space="preserve">, 28, 3549-3571. https://doi.org/10.1007/s10639-023-11604-7</w:t>
      </w:r>
    </w:p>
    <w:p>
      <w:pPr>
        <w:spacing w:before="0" w:after="160" w:line="480" w:lineRule="auto"/>
        <w:jc w:val="both"/>
      </w:pPr>
      <w:r>
        <w:rPr>
          <w:rFonts w:ascii="Times New Roman" w:cs="Times New Roman" w:eastAsia="Times New Roman" w:hAnsi="Times New Roman"/>
          <w:color w:val="000000"/>
          <w:sz w:val="24"/>
          <w:szCs w:val="24"/>
        </w:rPr>
        <w:t xml:space="preserve">[19] Nagy, M., &amp; Molontay, R. (2024). Interpretable dropout prediction: Towards XAI-based personalized intervention. </w:t>
      </w:r>
      <w:r>
        <w:rPr>
          <w:rFonts w:ascii="Times New Roman" w:cs="Times New Roman" w:eastAsia="Times New Roman" w:hAnsi="Times New Roman"/>
          <w:i/>
          <w:iCs/>
          <w:color w:val="000000"/>
          <w:sz w:val="24"/>
          <w:szCs w:val="24"/>
        </w:rPr>
        <w:t xml:space="preserve">International Journal of Artificial Intelligence in Education</w:t>
      </w:r>
      <w:r>
        <w:rPr>
          <w:rFonts w:ascii="Times New Roman" w:cs="Times New Roman" w:eastAsia="Times New Roman" w:hAnsi="Times New Roman"/>
          <w:color w:val="000000"/>
          <w:sz w:val="24"/>
          <w:szCs w:val="24"/>
        </w:rPr>
        <w:t xml:space="preserve">, 34(2), 274-300. https://doi.org/10.1007/s40593-023-00331-8</w:t>
      </w:r>
    </w:p>
    <w:p>
      <w:pPr>
        <w:spacing w:before="0" w:after="160" w:line="480" w:lineRule="auto"/>
        <w:jc w:val="both"/>
      </w:pPr>
      <w:r>
        <w:rPr>
          <w:rFonts w:ascii="Times New Roman" w:cs="Times New Roman" w:eastAsia="Times New Roman" w:hAnsi="Times New Roman"/>
          <w:color w:val="000000"/>
          <w:sz w:val="24"/>
          <w:szCs w:val="24"/>
        </w:rPr>
        <w:t xml:space="preserve">[20] Breiman, L. (2001). Random forests. </w:t>
      </w:r>
      <w:r>
        <w:rPr>
          <w:rFonts w:ascii="Times New Roman" w:cs="Times New Roman" w:eastAsia="Times New Roman" w:hAnsi="Times New Roman"/>
          <w:i/>
          <w:iCs/>
          <w:color w:val="000000"/>
          <w:sz w:val="24"/>
          <w:szCs w:val="24"/>
        </w:rPr>
        <w:t xml:space="preserve">Machine Learning</w:t>
      </w:r>
      <w:r>
        <w:rPr>
          <w:rFonts w:ascii="Times New Roman" w:cs="Times New Roman" w:eastAsia="Times New Roman" w:hAnsi="Times New Roman"/>
          <w:color w:val="000000"/>
          <w:sz w:val="24"/>
          <w:szCs w:val="24"/>
        </w:rPr>
        <w:t xml:space="preserve">, 45(1), 5-32. https://doi.org/10.1023/A:1010933404324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2026-03-31T09:07:40.821Z</dcterms:created>
  <dcterms:modified xsi:type="dcterms:W3CDTF">2026-03-31T09:07:40.822Z</dcterms:modified>
</cp:coreProperties>
</file>

<file path=docProps/custom.xml><?xml version="1.0" encoding="utf-8"?>
<Properties xmlns="http://schemas.openxmlformats.org/officeDocument/2006/custom-properties" xmlns:vt="http://schemas.openxmlformats.org/officeDocument/2006/docPropsVTypes"/>
</file>