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58524" w14:textId="77777777" w:rsidR="001B33BC" w:rsidRDefault="00000000">
      <w:pPr>
        <w:pStyle w:val="Heading2"/>
      </w:pPr>
      <w:r>
        <w:t>Part 0 — Passport Check Block</w:t>
      </w:r>
    </w:p>
    <w:tbl>
      <w:tblPr>
        <w:tblStyle w:val="TableGrid"/>
        <w:tblW w:w="0" w:type="auto"/>
        <w:jc w:val="center"/>
        <w:tblLook w:val="04A0" w:firstRow="1" w:lastRow="0" w:firstColumn="1" w:lastColumn="0" w:noHBand="0" w:noVBand="1"/>
      </w:tblPr>
      <w:tblGrid>
        <w:gridCol w:w="2160"/>
        <w:gridCol w:w="2160"/>
        <w:gridCol w:w="2160"/>
        <w:gridCol w:w="2160"/>
      </w:tblGrid>
      <w:tr w:rsidR="004072AE" w:rsidRPr="0091296C" w14:paraId="5E5C3A88" w14:textId="77777777" w:rsidTr="009940A5">
        <w:trPr>
          <w:jc w:val="center"/>
        </w:trPr>
        <w:tc>
          <w:tcPr>
            <w:tcW w:w="2160" w:type="dxa"/>
          </w:tcPr>
          <w:p w14:paraId="36F4BC65" w14:textId="77777777" w:rsidR="004072AE" w:rsidRPr="0091296C" w:rsidRDefault="004072AE" w:rsidP="009940A5">
            <w:pPr>
              <w:rPr>
                <w:sz w:val="18"/>
                <w:szCs w:val="18"/>
              </w:rPr>
            </w:pPr>
            <w:r w:rsidRPr="0091296C">
              <w:rPr>
                <w:sz w:val="18"/>
                <w:szCs w:val="18"/>
              </w:rPr>
              <w:t>Student name(s):</w:t>
            </w:r>
          </w:p>
        </w:tc>
        <w:tc>
          <w:tcPr>
            <w:tcW w:w="2160" w:type="dxa"/>
          </w:tcPr>
          <w:p w14:paraId="65EC5005" w14:textId="77777777" w:rsidR="004072AE" w:rsidRPr="0091296C" w:rsidRDefault="004072AE" w:rsidP="009940A5">
            <w:pPr>
              <w:rPr>
                <w:sz w:val="18"/>
                <w:szCs w:val="18"/>
              </w:rPr>
            </w:pPr>
            <w:r w:rsidRPr="0091296C">
              <w:rPr>
                <w:sz w:val="18"/>
                <w:szCs w:val="18"/>
              </w:rPr>
              <w:t>Oheneba Kwaku Tawiah Ntim, Evangelina Temple, Ahiekpor Jude Kekeli, Teye Victoria, Kyei Christian Junior</w:t>
            </w:r>
          </w:p>
        </w:tc>
        <w:tc>
          <w:tcPr>
            <w:tcW w:w="2160" w:type="dxa"/>
          </w:tcPr>
          <w:p w14:paraId="35C6CE25" w14:textId="77777777" w:rsidR="004072AE" w:rsidRPr="0091296C" w:rsidRDefault="004072AE" w:rsidP="009940A5">
            <w:pPr>
              <w:rPr>
                <w:sz w:val="18"/>
                <w:szCs w:val="18"/>
              </w:rPr>
            </w:pPr>
            <w:r w:rsidRPr="0091296C">
              <w:rPr>
                <w:sz w:val="18"/>
                <w:szCs w:val="18"/>
              </w:rPr>
              <w:t xml:space="preserve">Student ID(s): </w:t>
            </w:r>
          </w:p>
        </w:tc>
        <w:tc>
          <w:tcPr>
            <w:tcW w:w="2160" w:type="dxa"/>
          </w:tcPr>
          <w:p w14:paraId="26DF44B9" w14:textId="77777777" w:rsidR="004072AE" w:rsidRPr="0091296C" w:rsidRDefault="004072AE" w:rsidP="009940A5">
            <w:pPr>
              <w:rPr>
                <w:sz w:val="18"/>
                <w:szCs w:val="18"/>
              </w:rPr>
            </w:pPr>
            <w:r w:rsidRPr="0091296C">
              <w:rPr>
                <w:sz w:val="18"/>
                <w:szCs w:val="18"/>
              </w:rPr>
              <w:t>20923785, 20917568, 20920037, 20920301, 20923927</w:t>
            </w:r>
          </w:p>
        </w:tc>
      </w:tr>
      <w:tr w:rsidR="004072AE" w:rsidRPr="0091296C" w14:paraId="1868E5BE" w14:textId="77777777" w:rsidTr="009940A5">
        <w:trPr>
          <w:jc w:val="center"/>
        </w:trPr>
        <w:tc>
          <w:tcPr>
            <w:tcW w:w="2160" w:type="dxa"/>
          </w:tcPr>
          <w:p w14:paraId="133E5EA2" w14:textId="77777777" w:rsidR="004072AE" w:rsidRPr="0091296C" w:rsidRDefault="004072AE" w:rsidP="009940A5">
            <w:pPr>
              <w:rPr>
                <w:sz w:val="18"/>
                <w:szCs w:val="18"/>
              </w:rPr>
            </w:pPr>
            <w:r w:rsidRPr="0091296C">
              <w:rPr>
                <w:sz w:val="18"/>
                <w:szCs w:val="18"/>
              </w:rPr>
              <w:t>Supervisor</w:t>
            </w:r>
          </w:p>
        </w:tc>
        <w:tc>
          <w:tcPr>
            <w:tcW w:w="2160" w:type="dxa"/>
          </w:tcPr>
          <w:p w14:paraId="5AC11D8E" w14:textId="77777777" w:rsidR="004072AE" w:rsidRPr="0091296C" w:rsidRDefault="004072AE" w:rsidP="009940A5">
            <w:pPr>
              <w:rPr>
                <w:sz w:val="18"/>
                <w:szCs w:val="18"/>
              </w:rPr>
            </w:pPr>
            <w:r w:rsidRPr="0091296C">
              <w:rPr>
                <w:sz w:val="18"/>
                <w:szCs w:val="18"/>
              </w:rPr>
              <w:t>Dr. Eric Opoku Osei</w:t>
            </w:r>
          </w:p>
        </w:tc>
        <w:tc>
          <w:tcPr>
            <w:tcW w:w="2160" w:type="dxa"/>
          </w:tcPr>
          <w:p w14:paraId="3D97ACF9" w14:textId="77777777" w:rsidR="004072AE" w:rsidRPr="0091296C" w:rsidRDefault="004072AE" w:rsidP="009940A5">
            <w:pPr>
              <w:rPr>
                <w:sz w:val="18"/>
                <w:szCs w:val="18"/>
              </w:rPr>
            </w:pPr>
            <w:r w:rsidRPr="0091296C">
              <w:rPr>
                <w:sz w:val="18"/>
                <w:szCs w:val="18"/>
              </w:rPr>
              <w:t>Submission round</w:t>
            </w:r>
          </w:p>
        </w:tc>
        <w:tc>
          <w:tcPr>
            <w:tcW w:w="2160" w:type="dxa"/>
          </w:tcPr>
          <w:p w14:paraId="7ED3A4DE" w14:textId="77777777" w:rsidR="004072AE" w:rsidRPr="0091296C" w:rsidRDefault="004072AE" w:rsidP="009940A5">
            <w:pPr>
              <w:rPr>
                <w:sz w:val="18"/>
                <w:szCs w:val="18"/>
              </w:rPr>
            </w:pPr>
            <w:r w:rsidRPr="0091296C">
              <w:rPr>
                <w:sz w:val="18"/>
                <w:szCs w:val="18"/>
              </w:rPr>
              <w:t>R01</w:t>
            </w:r>
          </w:p>
        </w:tc>
      </w:tr>
      <w:tr w:rsidR="004072AE" w:rsidRPr="0091296C" w14:paraId="5F2E9A1A" w14:textId="77777777" w:rsidTr="009940A5">
        <w:trPr>
          <w:jc w:val="center"/>
        </w:trPr>
        <w:tc>
          <w:tcPr>
            <w:tcW w:w="2160" w:type="dxa"/>
          </w:tcPr>
          <w:p w14:paraId="0B425EB4" w14:textId="77777777" w:rsidR="004072AE" w:rsidRPr="0091296C" w:rsidRDefault="004072AE" w:rsidP="009940A5">
            <w:pPr>
              <w:rPr>
                <w:sz w:val="18"/>
                <w:szCs w:val="18"/>
              </w:rPr>
            </w:pPr>
            <w:r w:rsidRPr="0091296C">
              <w:rPr>
                <w:sz w:val="18"/>
                <w:szCs w:val="18"/>
              </w:rPr>
              <w:t>Model status</w:t>
            </w:r>
          </w:p>
        </w:tc>
        <w:tc>
          <w:tcPr>
            <w:tcW w:w="2160" w:type="dxa"/>
          </w:tcPr>
          <w:p w14:paraId="0C37C71B" w14:textId="77777777" w:rsidR="004072AE" w:rsidRPr="0091296C" w:rsidRDefault="004072AE" w:rsidP="009940A5">
            <w:pPr>
              <w:rPr>
                <w:sz w:val="18"/>
                <w:szCs w:val="18"/>
              </w:rPr>
            </w:pPr>
            <w:r w:rsidRPr="0091296C">
              <w:rPr>
                <w:sz w:val="18"/>
                <w:szCs w:val="18"/>
              </w:rPr>
              <w:t>ENGINEERED</w:t>
            </w:r>
          </w:p>
        </w:tc>
        <w:tc>
          <w:tcPr>
            <w:tcW w:w="2160" w:type="dxa"/>
          </w:tcPr>
          <w:p w14:paraId="52DE14A0" w14:textId="77777777" w:rsidR="004072AE" w:rsidRPr="0091296C" w:rsidRDefault="004072AE" w:rsidP="009940A5">
            <w:pPr>
              <w:rPr>
                <w:sz w:val="18"/>
                <w:szCs w:val="18"/>
              </w:rPr>
            </w:pPr>
            <w:r w:rsidRPr="0091296C">
              <w:rPr>
                <w:sz w:val="18"/>
                <w:szCs w:val="18"/>
              </w:rPr>
              <w:t>Target claim tier</w:t>
            </w:r>
          </w:p>
        </w:tc>
        <w:tc>
          <w:tcPr>
            <w:tcW w:w="2160" w:type="dxa"/>
          </w:tcPr>
          <w:p w14:paraId="2CCA1259" w14:textId="77777777" w:rsidR="004072AE" w:rsidRPr="0091296C" w:rsidRDefault="004072AE" w:rsidP="009940A5">
            <w:pPr>
              <w:rPr>
                <w:sz w:val="18"/>
                <w:szCs w:val="18"/>
              </w:rPr>
            </w:pPr>
            <w:r w:rsidRPr="0091296C">
              <w:rPr>
                <w:sz w:val="18"/>
                <w:szCs w:val="18"/>
              </w:rPr>
              <w:t>Tier 1</w:t>
            </w:r>
          </w:p>
        </w:tc>
      </w:tr>
      <w:tr w:rsidR="004072AE" w:rsidRPr="0091296C" w14:paraId="7746C3C8" w14:textId="77777777" w:rsidTr="009940A5">
        <w:trPr>
          <w:jc w:val="center"/>
        </w:trPr>
        <w:tc>
          <w:tcPr>
            <w:tcW w:w="2160" w:type="dxa"/>
          </w:tcPr>
          <w:p w14:paraId="19DAB303" w14:textId="77777777" w:rsidR="004072AE" w:rsidRPr="0091296C" w:rsidRDefault="004072AE" w:rsidP="009940A5">
            <w:pPr>
              <w:rPr>
                <w:sz w:val="18"/>
                <w:szCs w:val="18"/>
              </w:rPr>
            </w:pPr>
            <w:r w:rsidRPr="0091296C">
              <w:rPr>
                <w:sz w:val="18"/>
                <w:szCs w:val="18"/>
              </w:rPr>
              <w:t>Dataset strategy</w:t>
            </w:r>
          </w:p>
        </w:tc>
        <w:tc>
          <w:tcPr>
            <w:tcW w:w="2160" w:type="dxa"/>
          </w:tcPr>
          <w:p w14:paraId="76122C37" w14:textId="77777777" w:rsidR="004072AE" w:rsidRPr="0091296C" w:rsidRDefault="004072AE" w:rsidP="009940A5">
            <w:pPr>
              <w:rPr>
                <w:sz w:val="18"/>
                <w:szCs w:val="18"/>
              </w:rPr>
            </w:pPr>
            <w:r w:rsidRPr="0091296C">
              <w:rPr>
                <w:sz w:val="18"/>
                <w:szCs w:val="18"/>
              </w:rPr>
              <w:t>SINGLE-SOURCE</w:t>
            </w:r>
          </w:p>
        </w:tc>
        <w:tc>
          <w:tcPr>
            <w:tcW w:w="2160" w:type="dxa"/>
          </w:tcPr>
          <w:p w14:paraId="323727AD" w14:textId="77777777" w:rsidR="004072AE" w:rsidRPr="0091296C" w:rsidRDefault="004072AE" w:rsidP="009940A5">
            <w:pPr>
              <w:rPr>
                <w:sz w:val="18"/>
                <w:szCs w:val="18"/>
              </w:rPr>
            </w:pPr>
            <w:r w:rsidRPr="0091296C">
              <w:rPr>
                <w:sz w:val="18"/>
                <w:szCs w:val="18"/>
              </w:rPr>
              <w:t>Date submitted</w:t>
            </w:r>
          </w:p>
        </w:tc>
        <w:tc>
          <w:tcPr>
            <w:tcW w:w="2160" w:type="dxa"/>
          </w:tcPr>
          <w:p w14:paraId="08F9EEB1" w14:textId="77777777" w:rsidR="004072AE" w:rsidRPr="0091296C" w:rsidRDefault="004072AE" w:rsidP="009940A5">
            <w:pPr>
              <w:rPr>
                <w:sz w:val="18"/>
                <w:szCs w:val="18"/>
              </w:rPr>
            </w:pPr>
            <w:r w:rsidRPr="0091296C">
              <w:rPr>
                <w:sz w:val="18"/>
                <w:szCs w:val="18"/>
              </w:rPr>
              <w:t>09/09/2026</w:t>
            </w:r>
          </w:p>
        </w:tc>
      </w:tr>
      <w:tr w:rsidR="004072AE" w:rsidRPr="0091296C" w14:paraId="0F80737F" w14:textId="77777777" w:rsidTr="009940A5">
        <w:trPr>
          <w:trHeight w:val="377"/>
          <w:jc w:val="center"/>
        </w:trPr>
        <w:tc>
          <w:tcPr>
            <w:tcW w:w="2160" w:type="dxa"/>
          </w:tcPr>
          <w:p w14:paraId="70D1B46F" w14:textId="77777777" w:rsidR="004072AE" w:rsidRPr="0091296C" w:rsidRDefault="004072AE" w:rsidP="009940A5">
            <w:pPr>
              <w:rPr>
                <w:sz w:val="18"/>
                <w:szCs w:val="18"/>
              </w:rPr>
            </w:pPr>
            <w:r w:rsidRPr="0091296C">
              <w:rPr>
                <w:sz w:val="18"/>
                <w:szCs w:val="18"/>
              </w:rPr>
              <w:t>Folder</w:t>
            </w:r>
          </w:p>
        </w:tc>
        <w:tc>
          <w:tcPr>
            <w:tcW w:w="2160" w:type="dxa"/>
          </w:tcPr>
          <w:p w14:paraId="3803EC01" w14:textId="77777777" w:rsidR="004072AE" w:rsidRPr="0091296C" w:rsidRDefault="004072AE" w:rsidP="009940A5">
            <w:pPr>
              <w:rPr>
                <w:sz w:val="18"/>
                <w:szCs w:val="18"/>
              </w:rPr>
            </w:pPr>
            <w:r w:rsidRPr="0091296C">
              <w:rPr>
                <w:sz w:val="18"/>
                <w:szCs w:val="18"/>
              </w:rPr>
              <w:t>Ghana_Dropout_Project</w:t>
            </w:r>
          </w:p>
          <w:p w14:paraId="0981A893" w14:textId="77777777" w:rsidR="004072AE" w:rsidRPr="0091296C" w:rsidRDefault="004072AE" w:rsidP="0091296C">
            <w:pPr>
              <w:jc w:val="right"/>
              <w:rPr>
                <w:sz w:val="18"/>
                <w:szCs w:val="18"/>
              </w:rPr>
            </w:pPr>
          </w:p>
        </w:tc>
        <w:tc>
          <w:tcPr>
            <w:tcW w:w="2160" w:type="dxa"/>
          </w:tcPr>
          <w:p w14:paraId="4E2CCA72" w14:textId="77777777" w:rsidR="004072AE" w:rsidRPr="0091296C" w:rsidRDefault="004072AE" w:rsidP="009940A5">
            <w:pPr>
              <w:rPr>
                <w:sz w:val="18"/>
                <w:szCs w:val="18"/>
              </w:rPr>
            </w:pPr>
            <w:r w:rsidRPr="0091296C">
              <w:rPr>
                <w:sz w:val="18"/>
                <w:szCs w:val="18"/>
              </w:rPr>
              <w:t>Passport attached</w:t>
            </w:r>
          </w:p>
        </w:tc>
        <w:tc>
          <w:tcPr>
            <w:tcW w:w="2160" w:type="dxa"/>
          </w:tcPr>
          <w:p w14:paraId="275F565A" w14:textId="77777777" w:rsidR="004072AE" w:rsidRPr="0091296C" w:rsidRDefault="004072AE" w:rsidP="009940A5">
            <w:pPr>
              <w:rPr>
                <w:sz w:val="18"/>
                <w:szCs w:val="18"/>
              </w:rPr>
            </w:pPr>
            <w:r w:rsidRPr="0091296C">
              <w:rPr>
                <w:sz w:val="18"/>
                <w:szCs w:val="18"/>
              </w:rPr>
              <w:t>YES</w:t>
            </w:r>
          </w:p>
        </w:tc>
      </w:tr>
    </w:tbl>
    <w:p w14:paraId="25B3A8B9" w14:textId="77777777" w:rsidR="001B33BC" w:rsidRDefault="001B33BC"/>
    <w:p w14:paraId="1095D0FD" w14:textId="77777777" w:rsidR="001B33BC" w:rsidRDefault="00000000">
      <w:r>
        <w:rPr>
          <w:b/>
        </w:rPr>
        <w:t>Proposed Research Title:</w:t>
      </w:r>
      <w:r>
        <w:t xml:space="preserve"> Predicting School Dropout in Ghanaian Basic Schools Using an Enhanced Light Gradient Boosting Machine with Focal-Loss Training</w:t>
      </w:r>
    </w:p>
    <w:p w14:paraId="5E7F27B1" w14:textId="77777777" w:rsidR="001B33BC" w:rsidRDefault="00000000">
      <w:r>
        <w:rPr>
          <w:b/>
        </w:rPr>
        <w:t>Problem Statement:</w:t>
      </w:r>
      <w:r>
        <w:t xml:space="preserve"> Dropout prediction in Ghanaian basic schools is hampered by severe class imbalance. Dropout cases typically make up only 7 to 10 percent of pupil-level records, which means standard classifiers trained with uniform loss functions tend to treat every misclassified instance the same way, regardless of how confident the prediction was or which class the instance belongs to. In practice, this dilutes the model's capacity to learn from the rare but consequential minority class.</w:t>
      </w:r>
    </w:p>
    <w:p w14:paraId="4F228A77" w14:textId="77777777" w:rsidR="001B33BC" w:rsidRDefault="00000000">
      <w:r>
        <w:rPr>
          <w:b/>
        </w:rPr>
        <w:t>Aim:</w:t>
      </w:r>
      <w:r>
        <w:t xml:space="preserve"> To develop and evaluate an enhanced LightGBM classifier (E-LightGBM) that replaces the default binary cross-entropy training objective with a focal-loss gradient-Hessian pair, concentrating learning on hard-to-classify dropout cases under the severe class imbalance characteristic of school-level dropout data.</w:t>
      </w:r>
    </w:p>
    <w:p w14:paraId="7B26D6E9" w14:textId="77777777" w:rsidR="001B33BC" w:rsidRDefault="00000000">
      <w:r>
        <w:rPr>
          <w:b/>
        </w:rPr>
        <w:t>Objectives:</w:t>
      </w:r>
    </w:p>
    <w:p w14:paraId="1C0FA720" w14:textId="77777777" w:rsidR="001B33BC" w:rsidRDefault="00000000">
      <w:pPr>
        <w:pStyle w:val="ListNumber"/>
      </w:pPr>
      <w:r>
        <w:t>1. To collect primary pupil-level data from basic schools in the Kumasi Metro districts of the Ashanti Region, Ghana, and to construct domain-informed composite features that capture latent dropout risk signals.</w:t>
      </w:r>
    </w:p>
    <w:p w14:paraId="1F8B417B" w14:textId="77777777" w:rsidR="001B33BC" w:rsidRDefault="00000000">
      <w:pPr>
        <w:pStyle w:val="ListNumber"/>
      </w:pPr>
      <w:r>
        <w:t>2. To engineer a focal-loss training objective for LightGBM and compare its performance against the standard LightGBM baseline and five additional classifiers under identical conditions.</w:t>
      </w:r>
    </w:p>
    <w:p w14:paraId="3C5BD0C5" w14:textId="77777777" w:rsidR="001B33BC" w:rsidRDefault="00000000">
      <w:pPr>
        <w:pStyle w:val="ListNumber"/>
      </w:pPr>
      <w:r>
        <w:t>3. To evaluate the proposed model using AUC-PR as the primary metric, alongside fairness auditing and SHAP-based interpretability analysis, with statistical significance testing to assess whether the engineering intervention produces a meaningful difference.</w:t>
      </w:r>
    </w:p>
    <w:p w14:paraId="1360E2D9" w14:textId="77777777" w:rsidR="0091296C" w:rsidRDefault="0091296C" w:rsidP="0091296C">
      <w:pPr>
        <w:pStyle w:val="ListNumber"/>
        <w:numPr>
          <w:ilvl w:val="0"/>
          <w:numId w:val="0"/>
        </w:numPr>
        <w:rPr>
          <w:b/>
        </w:rPr>
      </w:pPr>
    </w:p>
    <w:p w14:paraId="4CE9D7B0" w14:textId="06EB6D23" w:rsidR="0091296C" w:rsidRDefault="0091296C" w:rsidP="0091296C">
      <w:pPr>
        <w:pStyle w:val="ListNumber"/>
        <w:numPr>
          <w:ilvl w:val="0"/>
          <w:numId w:val="0"/>
        </w:numPr>
      </w:pPr>
      <w:r>
        <w:rPr>
          <w:b/>
        </w:rPr>
        <w:t>Theories / Frameworks:</w:t>
      </w:r>
      <w:r>
        <w:t xml:space="preserve"> </w:t>
      </w:r>
      <w:r w:rsidRPr="009F6C65">
        <w:t>Bronfenbrenner's Ecological Systems Theory (1979), Self-Determination Theory (Deci &amp; Ryan, 1985)</w:t>
      </w:r>
      <w:r>
        <w:t>.</w:t>
      </w:r>
    </w:p>
    <w:p w14:paraId="1D391D60" w14:textId="7B998E02" w:rsidR="001B33BC" w:rsidRDefault="00000000">
      <w:pPr>
        <w:pStyle w:val="Heading2"/>
      </w:pPr>
      <w:r>
        <w:lastRenderedPageBreak/>
        <w:t>M1. Research Design Overview and Methodological Roadmap</w:t>
      </w:r>
    </w:p>
    <w:p w14:paraId="33289F0D" w14:textId="77777777" w:rsidR="001B33BC" w:rsidRDefault="00000000">
      <w:r>
        <w:t>The work reported here follows a supervised learning paradigm, framing school dropout prediction as a binary classification task where each pupil-level record is assigned either a "dropout" or "retained" label. Three broad phases structured the study. First, primary field data were collected from basic schools in the Kumasi Metro area, cleaned, and augmented with domain-informed composite features (M3 through M7). Second, a pool of baseline classifiers was evaluated and the strongest candidate was identified as the substrate for a model engineering intervention (M8 through M14). Third, the resulting model was assessed against the baseline under identical conditions, drawing on statistical testing, ablation analysis, interpretability, and a fairness audit (M15 through M18). The computational environment, methodological defences, and data availability are documented in M19 through M21.</w:t>
      </w:r>
    </w:p>
    <w:p w14:paraId="386A91E3" w14:textId="77777777" w:rsidR="001B33BC" w:rsidRDefault="00000000">
      <w:pPr>
        <w:pStyle w:val="Heading2"/>
      </w:pPr>
      <w:r>
        <w:t>M2. Problem Formalisation and Notation</w:t>
      </w:r>
    </w:p>
    <w:p w14:paraId="6B6B74F9" w14:textId="77777777" w:rsidR="001B33BC" w:rsidRDefault="00000000">
      <w:r>
        <w:t>Let X in R^(n x d) denote the feature matrix, where each of the n = 1000 rows represents one pupil-level record spanning a single academic year, and d = 41 columns represent the final predictor set after preprocessing and feature engineering. The target variable y in {0, 1}^n encodes class membership: y_i = 1 for dropout, y_i = 0 for retention. The classifier learns a mapping f: R^d -&gt; [0, 1] estimating the probability of dropout for a given feature vector, thresholded at t = 0.5 to yield a binary prediction. Throughout this paper, k = 2 denotes the number of classes and the unit of analysis is one pupil observed over one academic year at a basic school.</w:t>
      </w:r>
    </w:p>
    <w:p w14:paraId="1473678D" w14:textId="77777777" w:rsidR="001B33BC" w:rsidRDefault="00000000">
      <w:pPr>
        <w:pStyle w:val="Heading2"/>
      </w:pPr>
      <w:r>
        <w:t>M3. Data Sources and Provenance Declaration</w:t>
      </w:r>
    </w:p>
    <w:p w14:paraId="2A583FB3" w14:textId="77777777" w:rsidR="001B33BC" w:rsidRDefault="00000000">
      <w:r>
        <w:t>All model training and evaluation relied on a single primary dataset collected directly by the research team. No public, pre-existing, or synthetic dataset served as a data source for model training at any stage.</w:t>
      </w:r>
    </w:p>
    <w:p w14:paraId="169087B4" w14:textId="77777777" w:rsidR="001B33BC" w:rsidRDefault="00000000">
      <w:r>
        <w:rPr>
          <w:b/>
        </w:rPr>
        <w:t>Table 1. Dataset provenance.</w:t>
      </w:r>
    </w:p>
    <w:tbl>
      <w:tblPr>
        <w:tblStyle w:val="TableGrid"/>
        <w:tblW w:w="0" w:type="auto"/>
        <w:jc w:val="center"/>
        <w:tblLook w:val="04A0" w:firstRow="1" w:lastRow="0" w:firstColumn="1" w:lastColumn="0" w:noHBand="0" w:noVBand="1"/>
      </w:tblPr>
      <w:tblGrid>
        <w:gridCol w:w="4320"/>
        <w:gridCol w:w="4320"/>
      </w:tblGrid>
      <w:tr w:rsidR="001B33BC" w14:paraId="4BE154D6" w14:textId="77777777">
        <w:trPr>
          <w:jc w:val="center"/>
        </w:trPr>
        <w:tc>
          <w:tcPr>
            <w:tcW w:w="4320" w:type="dxa"/>
          </w:tcPr>
          <w:p w14:paraId="41B2B76B" w14:textId="77777777" w:rsidR="001B33BC" w:rsidRDefault="00000000">
            <w:r>
              <w:rPr>
                <w:b/>
                <w:sz w:val="18"/>
              </w:rPr>
              <w:t>Attribute</w:t>
            </w:r>
          </w:p>
        </w:tc>
        <w:tc>
          <w:tcPr>
            <w:tcW w:w="4320" w:type="dxa"/>
          </w:tcPr>
          <w:p w14:paraId="0033521A" w14:textId="77777777" w:rsidR="001B33BC" w:rsidRDefault="00000000">
            <w:r>
              <w:rPr>
                <w:b/>
                <w:sz w:val="18"/>
              </w:rPr>
              <w:t>Value</w:t>
            </w:r>
          </w:p>
        </w:tc>
      </w:tr>
      <w:tr w:rsidR="00264276" w14:paraId="157D8B43" w14:textId="77777777">
        <w:trPr>
          <w:jc w:val="center"/>
        </w:trPr>
        <w:tc>
          <w:tcPr>
            <w:tcW w:w="4320" w:type="dxa"/>
          </w:tcPr>
          <w:p w14:paraId="1E8061B9" w14:textId="77777777" w:rsidR="00264276" w:rsidRDefault="00264276" w:rsidP="00264276">
            <w:r>
              <w:rPr>
                <w:sz w:val="18"/>
              </w:rPr>
              <w:t>Name</w:t>
            </w:r>
          </w:p>
        </w:tc>
        <w:tc>
          <w:tcPr>
            <w:tcW w:w="4320" w:type="dxa"/>
          </w:tcPr>
          <w:p w14:paraId="3E31BF1D" w14:textId="58AC2F42" w:rsidR="00264276" w:rsidRDefault="00264276" w:rsidP="00264276">
            <w:r w:rsidRPr="00A31A5A">
              <w:rPr>
                <w:sz w:val="18"/>
                <w:szCs w:val="18"/>
              </w:rPr>
              <w:t>Ghanaian Basic School Student Dropout Dataset — Ashanti Region, 2024/25</w:t>
            </w:r>
          </w:p>
        </w:tc>
      </w:tr>
      <w:tr w:rsidR="001B33BC" w14:paraId="3F35DB1A" w14:textId="77777777">
        <w:trPr>
          <w:jc w:val="center"/>
        </w:trPr>
        <w:tc>
          <w:tcPr>
            <w:tcW w:w="4320" w:type="dxa"/>
          </w:tcPr>
          <w:p w14:paraId="0C544702" w14:textId="77777777" w:rsidR="001B33BC" w:rsidRDefault="00000000">
            <w:r>
              <w:rPr>
                <w:sz w:val="18"/>
              </w:rPr>
              <w:t>Source type</w:t>
            </w:r>
          </w:p>
        </w:tc>
        <w:tc>
          <w:tcPr>
            <w:tcW w:w="4320" w:type="dxa"/>
          </w:tcPr>
          <w:p w14:paraId="1834DE03" w14:textId="77777777" w:rsidR="001B33BC" w:rsidRDefault="00000000">
            <w:r>
              <w:rPr>
                <w:sz w:val="18"/>
              </w:rPr>
              <w:t>FIELD</w:t>
            </w:r>
          </w:p>
        </w:tc>
      </w:tr>
      <w:tr w:rsidR="001B33BC" w14:paraId="016349C6" w14:textId="77777777">
        <w:trPr>
          <w:jc w:val="center"/>
        </w:trPr>
        <w:tc>
          <w:tcPr>
            <w:tcW w:w="4320" w:type="dxa"/>
          </w:tcPr>
          <w:p w14:paraId="10234F43" w14:textId="77777777" w:rsidR="001B33BC" w:rsidRDefault="00000000">
            <w:r>
              <w:rPr>
                <w:sz w:val="18"/>
              </w:rPr>
              <w:t>Size (raw)</w:t>
            </w:r>
          </w:p>
        </w:tc>
        <w:tc>
          <w:tcPr>
            <w:tcW w:w="4320" w:type="dxa"/>
          </w:tcPr>
          <w:p w14:paraId="35A47683" w14:textId="77777777" w:rsidR="001B33BC" w:rsidRDefault="00000000">
            <w:r>
              <w:rPr>
                <w:sz w:val="18"/>
              </w:rPr>
              <w:t>1000 rows x 44 columns</w:t>
            </w:r>
          </w:p>
        </w:tc>
      </w:tr>
      <w:tr w:rsidR="001B33BC" w14:paraId="27587BD6" w14:textId="77777777">
        <w:trPr>
          <w:jc w:val="center"/>
        </w:trPr>
        <w:tc>
          <w:tcPr>
            <w:tcW w:w="4320" w:type="dxa"/>
          </w:tcPr>
          <w:p w14:paraId="5911DDA9" w14:textId="77777777" w:rsidR="001B33BC" w:rsidRDefault="00000000">
            <w:r>
              <w:rPr>
                <w:sz w:val="18"/>
              </w:rPr>
              <w:t>Collection window</w:t>
            </w:r>
          </w:p>
        </w:tc>
        <w:tc>
          <w:tcPr>
            <w:tcW w:w="4320" w:type="dxa"/>
          </w:tcPr>
          <w:p w14:paraId="1D718719" w14:textId="77777777" w:rsidR="001B33BC" w:rsidRDefault="00000000">
            <w:r>
              <w:rPr>
                <w:sz w:val="18"/>
              </w:rPr>
              <w:t>7 May 2026 to 1 June 2026</w:t>
            </w:r>
          </w:p>
        </w:tc>
      </w:tr>
      <w:tr w:rsidR="001B33BC" w14:paraId="220132BB" w14:textId="77777777">
        <w:trPr>
          <w:jc w:val="center"/>
        </w:trPr>
        <w:tc>
          <w:tcPr>
            <w:tcW w:w="4320" w:type="dxa"/>
          </w:tcPr>
          <w:p w14:paraId="08938B99" w14:textId="77777777" w:rsidR="001B33BC" w:rsidRDefault="00000000">
            <w:r>
              <w:rPr>
                <w:sz w:val="18"/>
              </w:rPr>
              <w:t>Sampling frame</w:t>
            </w:r>
          </w:p>
        </w:tc>
        <w:tc>
          <w:tcPr>
            <w:tcW w:w="4320" w:type="dxa"/>
          </w:tcPr>
          <w:p w14:paraId="1F5F31AB" w14:textId="77777777" w:rsidR="001B33BC" w:rsidRDefault="00000000">
            <w:r>
              <w:rPr>
                <w:sz w:val="18"/>
              </w:rPr>
              <w:t>Pupils in Primary 4 through JHS Form 2 at basic schools in the Kumasi Metropolitan districts, Ashanti Region, Ghana</w:t>
            </w:r>
          </w:p>
        </w:tc>
      </w:tr>
      <w:tr w:rsidR="001B33BC" w14:paraId="09E937A9" w14:textId="77777777">
        <w:trPr>
          <w:jc w:val="center"/>
        </w:trPr>
        <w:tc>
          <w:tcPr>
            <w:tcW w:w="4320" w:type="dxa"/>
          </w:tcPr>
          <w:p w14:paraId="2303FFF6" w14:textId="77777777" w:rsidR="001B33BC" w:rsidRDefault="00000000">
            <w:r>
              <w:rPr>
                <w:sz w:val="18"/>
              </w:rPr>
              <w:t>Licence</w:t>
            </w:r>
          </w:p>
        </w:tc>
        <w:tc>
          <w:tcPr>
            <w:tcW w:w="4320" w:type="dxa"/>
          </w:tcPr>
          <w:p w14:paraId="6B7F338A" w14:textId="77777777" w:rsidR="001B33BC" w:rsidRDefault="00000000">
            <w:r>
              <w:rPr>
                <w:sz w:val="18"/>
              </w:rPr>
              <w:t>Restricted; pupil-level data cannot be shared publicly due to ethics constraints (see M5)</w:t>
            </w:r>
          </w:p>
        </w:tc>
      </w:tr>
      <w:tr w:rsidR="001B33BC" w14:paraId="7A130058" w14:textId="77777777">
        <w:trPr>
          <w:jc w:val="center"/>
        </w:trPr>
        <w:tc>
          <w:tcPr>
            <w:tcW w:w="4320" w:type="dxa"/>
          </w:tcPr>
          <w:p w14:paraId="5309120E" w14:textId="77777777" w:rsidR="001B33BC" w:rsidRDefault="00000000">
            <w:r>
              <w:rPr>
                <w:sz w:val="18"/>
              </w:rPr>
              <w:t>Role</w:t>
            </w:r>
          </w:p>
        </w:tc>
        <w:tc>
          <w:tcPr>
            <w:tcW w:w="4320" w:type="dxa"/>
          </w:tcPr>
          <w:p w14:paraId="1E067DC0" w14:textId="77777777" w:rsidR="001B33BC" w:rsidRDefault="00000000">
            <w:r>
              <w:rPr>
                <w:sz w:val="18"/>
              </w:rPr>
              <w:t>Training (80%) and held-out test (20%)</w:t>
            </w:r>
          </w:p>
        </w:tc>
      </w:tr>
      <w:tr w:rsidR="001B33BC" w14:paraId="54ECE83E" w14:textId="77777777">
        <w:trPr>
          <w:jc w:val="center"/>
        </w:trPr>
        <w:tc>
          <w:tcPr>
            <w:tcW w:w="4320" w:type="dxa"/>
          </w:tcPr>
          <w:p w14:paraId="460128C1" w14:textId="77777777" w:rsidR="001B33BC" w:rsidRDefault="00000000">
            <w:r>
              <w:rPr>
                <w:sz w:val="18"/>
              </w:rPr>
              <w:t>Institution</w:t>
            </w:r>
          </w:p>
        </w:tc>
        <w:tc>
          <w:tcPr>
            <w:tcW w:w="4320" w:type="dxa"/>
          </w:tcPr>
          <w:p w14:paraId="35854676" w14:textId="77777777" w:rsidR="001B33BC" w:rsidRDefault="00000000">
            <w:r>
              <w:rPr>
                <w:sz w:val="18"/>
              </w:rPr>
              <w:t>Department of Computer Science, Kwame Nkrumah University of Science and Technology (KNUST)</w:t>
            </w:r>
          </w:p>
        </w:tc>
      </w:tr>
    </w:tbl>
    <w:p w14:paraId="1F968863" w14:textId="77777777" w:rsidR="001B33BC" w:rsidRDefault="001B33BC"/>
    <w:p w14:paraId="6CFB0D16" w14:textId="77777777" w:rsidR="001B33BC" w:rsidRDefault="00000000">
      <w:r>
        <w:t xml:space="preserve">The dataset was assembled from two channels: institutional administrative records (attendance registers, termly exam scores, grade repetition counts, and programme beneficiary status) and </w:t>
      </w:r>
      <w:r>
        <w:lastRenderedPageBreak/>
        <w:t>structured questionnaire responses administered to pupils and headteachers. No secondary or external dataset was involved at any stage of the pipeline.</w:t>
      </w:r>
    </w:p>
    <w:p w14:paraId="7631FE00" w14:textId="77777777" w:rsidR="001B33BC" w:rsidRDefault="00000000">
      <w:pPr>
        <w:pStyle w:val="Heading2"/>
      </w:pPr>
      <w:r>
        <w:t>M4. Data Collection or Acquisition Procedure</w:t>
      </w:r>
    </w:p>
    <w:p w14:paraId="76EA2D53" w14:textId="77777777" w:rsidR="001B33BC" w:rsidRDefault="00000000">
      <w:r>
        <w:t>Data were gathered through two distinct channels over a four-week window running from 7 May 2026 to 1 June 2026. The first channel was direct extraction from administrative records maintained by participating basic schools, which yielded termly attendance rates, examination scores, grade repetition counts, and enrolment status in the School Feeding Programme and the Livelihood Empowerment Against Poverty (LEAP) scheme. The second was a structured questionnaire administered to pupils and their headteachers, capturing household composition, travel distance and mode, parental engagement indicators, and behavioural characteristics such as class participation and extracurricular involvement.</w:t>
      </w:r>
    </w:p>
    <w:p w14:paraId="10D9B594" w14:textId="77777777" w:rsidR="001B33BC" w:rsidRDefault="00000000">
      <w:r>
        <w:t>Eligible respondents were pupils enrolled in Primary 4 through Junior High School Form 2 at basic schools within the Kumasi Metropolitan Assembly area. Headteachers and class teachers facilitated access and provided institutional records on behalf of their pupils. The resulting dataset comprised 1000 pupil-level records spanning 44 raw variables.</w:t>
      </w:r>
    </w:p>
    <w:p w14:paraId="0B179BF3" w14:textId="77777777" w:rsidR="001B33BC" w:rsidRDefault="00000000">
      <w:r>
        <w:t>One gap worth flagging: the exact response or extraction rate across schools, and the proportion of records carrying at least one missing value, were not formally recorded during collection. Remaining missing values in continuous variables were median-imputed, and missing categorical values were mode-imputed during preprocessing (M6). Future iterations of this data collection should quantify non-response more explicitly.</w:t>
      </w:r>
    </w:p>
    <w:p w14:paraId="23C68110" w14:textId="77777777" w:rsidR="001B33BC" w:rsidRDefault="00000000">
      <w:pPr>
        <w:pStyle w:val="Heading2"/>
      </w:pPr>
      <w:r>
        <w:t>M5. Ethical Clearance, Consent and Data Governance</w:t>
      </w:r>
    </w:p>
    <w:p w14:paraId="1151F6BE" w14:textId="77777777" w:rsidR="001B33BC" w:rsidRDefault="00000000">
      <w:r>
        <w:t>Ethical approval was granted by the Committee on Humanities and Social Sciences Research and Ethics Committee (HuSSREC), Kwame Nkrumah University of Science and Technology, under reference number HuSSREC/AP/543/VOL. 5. The approval covers the period 30 June 2026 to 30 June 2027, renewable thereafter.</w:t>
      </w:r>
    </w:p>
    <w:p w14:paraId="107385C8" w14:textId="77777777" w:rsidR="001B33BC" w:rsidRDefault="00000000">
      <w:r>
        <w:t>Consent was obtained from headteachers and class teachers acting on behalf of the participating pupils within the school setting. Pupils themselves did not sign individual consent forms; proxy consent was provided by institutional gatekeepers, consistent with the protocol reviewed and approved by HuSSREC.</w:t>
      </w:r>
    </w:p>
    <w:p w14:paraId="3AE00A52" w14:textId="77777777" w:rsidR="001B33BC" w:rsidRDefault="00000000">
      <w:r>
        <w:t>All pupil and school identifiers were replaced with non-reversible study ID numbers before any analytical work began. Processed data are stored in a password-protected Google Drive folder accessible only to members of the research team, in accordance with the Ghana Data Protection Act, 2012 (Act 843). The retention period follows the terms stipulated in the approved protocol.</w:t>
      </w:r>
    </w:p>
    <w:p w14:paraId="3FF8BC43" w14:textId="77777777" w:rsidR="001B33BC" w:rsidRDefault="00000000">
      <w:pPr>
        <w:pStyle w:val="Heading2"/>
      </w:pPr>
      <w:r>
        <w:t>M6. Data Preprocessing and Cleaning</w:t>
      </w:r>
    </w:p>
    <w:p w14:paraId="445B3353" w14:textId="77777777" w:rsidR="001B33BC" w:rsidRDefault="00000000">
      <w:r>
        <w:t xml:space="preserve">Several cleaning steps were applied to the raw 1000-record dataset. Columns that were entirely empty (100% missing) were dropped outright, along with identifier-like columns such as student </w:t>
      </w:r>
      <w:r>
        <w:lastRenderedPageBreak/>
        <w:t>ID, serial number, and registration number. Variables identified as potential sources of target leakage (dropout date, completion date, final result) were also removed at this stage.</w:t>
      </w:r>
    </w:p>
    <w:p w14:paraId="79CCE0F3" w14:textId="77777777" w:rsidR="001B33BC" w:rsidRDefault="00000000">
      <w:r>
        <w:t>For the remaining features, missing values in continuous variables were imputed using the column median, and missing values in categorical variables were filled with the column mode. Categorical variables were then label-encoded. Constant and near-constant columns, defined as those where a single value accounted for more than 99% of entries, were removed. Highly collinear feature pairs (Pearson |r| &gt; 0.95) were pruned, though the three composite features described in M7 were retained manually rather than subjected to this automatic step.</w:t>
      </w:r>
    </w:p>
    <w:p w14:paraId="43DEB666" w14:textId="77777777" w:rsidR="001B33BC" w:rsidRDefault="00000000">
      <w:r>
        <w:t>A limitation that should be stated plainly: in the primary pipeline, imputation, encoding, and collinearity pruning were all fitted on the full dataset prior to the train/test split described in M9. Strictly speaking, this constitutes a mild form of information sharing between the training and test partitions. A corrected version of the pipeline was subsequently implemented in the negative-results diagnostic notebook (Notebook 9b), in which all fitted transformations — median and mode imputation, label encoding, MinMaxScaler fitting, and near-constant column detection — were fitted on the training fold only and applied unchanged to the validation fold within each cross-validation iteration. The corrected pipeline confirmed that the direction and magnitude of the baseline-versus-E-LightGBM comparison were materially unchanged after eliminating this information sharing, indicating that the pre-split fitting did not materially bias the original comparison.</w:t>
      </w:r>
    </w:p>
    <w:p w14:paraId="52084517" w14:textId="77777777" w:rsidR="001B33BC" w:rsidRDefault="00000000">
      <w:pPr>
        <w:pStyle w:val="Heading2"/>
      </w:pPr>
      <w:r>
        <w:t>M7. Feature Engineering and Representation</w:t>
      </w:r>
    </w:p>
    <w:p w14:paraId="224F5BA0" w14:textId="77777777" w:rsidR="001B33BC" w:rsidRDefault="00000000">
      <w:r>
        <w:t>After preprocessing, the final feature set comprised 41 predictors: 38 raw or encoded variables derived from the administrative and questionnaire data, plus three domain-informed composite indicators constructed before model training.</w:t>
      </w:r>
    </w:p>
    <w:p w14:paraId="597ABB8D" w14:textId="77777777" w:rsidR="001B33BC" w:rsidRDefault="00000000">
      <w:r>
        <w:t>The attendance risk index was computed as a weighted mean of (1 minus attendance_rate) across three academic terms, giving greater weight to the most recent term. The logic here is that declining attendance later in the year carries a stronger dropout signal than an early dip that later corrects. The socioeconomic vulnerability score aggregated LEAP beneficiary status, School Feeding Programme participation, and an inverted, min-max-scaled family income level into a single indicator. The behavioural engagement index combined an inverted behaviour-warning count, class participation score, and extracurricular involvement, each min-max scaled before aggregation.</w:t>
      </w:r>
    </w:p>
    <w:p w14:paraId="5479F36D" w14:textId="77777777" w:rsidR="001B33BC" w:rsidRDefault="00000000">
      <w:r>
        <w:t>None of these composites uses information that would be unavailable at prediction time. Attendance rates, exam scores, programme enrolment, and questionnaire responses all exist in the school record before any dropout outcome is observed, so there is no temporal leakage.</w:t>
      </w:r>
    </w:p>
    <w:p w14:paraId="657C8951" w14:textId="77777777" w:rsidR="001B33BC" w:rsidRDefault="00000000">
      <w:r>
        <w:t>No formal feature selection method (recursive feature elimination, L1 regularisation, or similar) was applied. Feature relevance was instead assessed post-hoc using SHAP TreeExplainer attribution (Lundberg and Lee, 2017), as described in M17.</w:t>
      </w:r>
    </w:p>
    <w:p w14:paraId="75ACD7C4" w14:textId="77777777" w:rsidR="001B33BC" w:rsidRDefault="00000000">
      <w:r>
        <w:rPr>
          <w:b/>
        </w:rPr>
        <w:lastRenderedPageBreak/>
        <w:t>Table 2. Descriptive statistics (mean, SD, min, max) of selected continuous and composite features.</w:t>
      </w:r>
    </w:p>
    <w:tbl>
      <w:tblPr>
        <w:tblStyle w:val="TableGrid"/>
        <w:tblW w:w="0" w:type="auto"/>
        <w:jc w:val="center"/>
        <w:tblLook w:val="04A0" w:firstRow="1" w:lastRow="0" w:firstColumn="1" w:lastColumn="0" w:noHBand="0" w:noVBand="1"/>
      </w:tblPr>
      <w:tblGrid>
        <w:gridCol w:w="2789"/>
        <w:gridCol w:w="1512"/>
        <w:gridCol w:w="1512"/>
        <w:gridCol w:w="1512"/>
        <w:gridCol w:w="1531"/>
      </w:tblGrid>
      <w:tr w:rsidR="001B33BC" w14:paraId="66328104" w14:textId="77777777">
        <w:trPr>
          <w:jc w:val="center"/>
        </w:trPr>
        <w:tc>
          <w:tcPr>
            <w:tcW w:w="1728" w:type="dxa"/>
          </w:tcPr>
          <w:p w14:paraId="02DE7743" w14:textId="77777777" w:rsidR="001B33BC" w:rsidRDefault="00000000">
            <w:r>
              <w:rPr>
                <w:b/>
                <w:sz w:val="18"/>
              </w:rPr>
              <w:t>Feature</w:t>
            </w:r>
          </w:p>
        </w:tc>
        <w:tc>
          <w:tcPr>
            <w:tcW w:w="1728" w:type="dxa"/>
          </w:tcPr>
          <w:p w14:paraId="2B91FEF6" w14:textId="77777777" w:rsidR="001B33BC" w:rsidRDefault="00000000">
            <w:r>
              <w:rPr>
                <w:b/>
                <w:sz w:val="18"/>
              </w:rPr>
              <w:t>Mean</w:t>
            </w:r>
          </w:p>
        </w:tc>
        <w:tc>
          <w:tcPr>
            <w:tcW w:w="1728" w:type="dxa"/>
          </w:tcPr>
          <w:p w14:paraId="1AEEF0FF" w14:textId="77777777" w:rsidR="001B33BC" w:rsidRDefault="00000000">
            <w:r>
              <w:rPr>
                <w:b/>
                <w:sz w:val="18"/>
              </w:rPr>
              <w:t>SD</w:t>
            </w:r>
          </w:p>
        </w:tc>
        <w:tc>
          <w:tcPr>
            <w:tcW w:w="1728" w:type="dxa"/>
          </w:tcPr>
          <w:p w14:paraId="5BA03802" w14:textId="77777777" w:rsidR="001B33BC" w:rsidRDefault="00000000">
            <w:r>
              <w:rPr>
                <w:b/>
                <w:sz w:val="18"/>
              </w:rPr>
              <w:t>Min</w:t>
            </w:r>
          </w:p>
        </w:tc>
        <w:tc>
          <w:tcPr>
            <w:tcW w:w="1728" w:type="dxa"/>
          </w:tcPr>
          <w:p w14:paraId="2C91889C" w14:textId="77777777" w:rsidR="001B33BC" w:rsidRDefault="00000000">
            <w:r>
              <w:rPr>
                <w:b/>
                <w:sz w:val="18"/>
              </w:rPr>
              <w:t>Max</w:t>
            </w:r>
          </w:p>
        </w:tc>
      </w:tr>
      <w:tr w:rsidR="001B33BC" w14:paraId="33A2D1FF" w14:textId="77777777">
        <w:trPr>
          <w:jc w:val="center"/>
        </w:trPr>
        <w:tc>
          <w:tcPr>
            <w:tcW w:w="1728" w:type="dxa"/>
          </w:tcPr>
          <w:p w14:paraId="3A8C6712" w14:textId="77777777" w:rsidR="001B33BC" w:rsidRDefault="00000000">
            <w:r>
              <w:rPr>
                <w:sz w:val="18"/>
              </w:rPr>
              <w:t>term_1_attendance</w:t>
            </w:r>
          </w:p>
        </w:tc>
        <w:tc>
          <w:tcPr>
            <w:tcW w:w="1728" w:type="dxa"/>
          </w:tcPr>
          <w:p w14:paraId="375AF79B" w14:textId="77777777" w:rsidR="001B33BC" w:rsidRDefault="00000000">
            <w:r>
              <w:rPr>
                <w:sz w:val="18"/>
              </w:rPr>
              <w:t>80.747</w:t>
            </w:r>
          </w:p>
        </w:tc>
        <w:tc>
          <w:tcPr>
            <w:tcW w:w="1728" w:type="dxa"/>
          </w:tcPr>
          <w:p w14:paraId="37D9B586" w14:textId="77777777" w:rsidR="001B33BC" w:rsidRDefault="00000000">
            <w:r>
              <w:rPr>
                <w:sz w:val="18"/>
              </w:rPr>
              <w:t>16.494</w:t>
            </w:r>
          </w:p>
        </w:tc>
        <w:tc>
          <w:tcPr>
            <w:tcW w:w="1728" w:type="dxa"/>
          </w:tcPr>
          <w:p w14:paraId="3615A2B5" w14:textId="77777777" w:rsidR="001B33BC" w:rsidRDefault="00000000">
            <w:r>
              <w:rPr>
                <w:sz w:val="18"/>
              </w:rPr>
              <w:t>20.000</w:t>
            </w:r>
          </w:p>
        </w:tc>
        <w:tc>
          <w:tcPr>
            <w:tcW w:w="1728" w:type="dxa"/>
          </w:tcPr>
          <w:p w14:paraId="770FC91A" w14:textId="77777777" w:rsidR="001B33BC" w:rsidRDefault="00000000">
            <w:r>
              <w:rPr>
                <w:sz w:val="18"/>
              </w:rPr>
              <w:t>100.500</w:t>
            </w:r>
          </w:p>
        </w:tc>
      </w:tr>
      <w:tr w:rsidR="001B33BC" w14:paraId="28C26574" w14:textId="77777777">
        <w:trPr>
          <w:jc w:val="center"/>
        </w:trPr>
        <w:tc>
          <w:tcPr>
            <w:tcW w:w="1728" w:type="dxa"/>
          </w:tcPr>
          <w:p w14:paraId="085EFEAE" w14:textId="77777777" w:rsidR="001B33BC" w:rsidRDefault="00000000">
            <w:r>
              <w:rPr>
                <w:sz w:val="18"/>
              </w:rPr>
              <w:t>term_2_attendance</w:t>
            </w:r>
          </w:p>
        </w:tc>
        <w:tc>
          <w:tcPr>
            <w:tcW w:w="1728" w:type="dxa"/>
          </w:tcPr>
          <w:p w14:paraId="3F5D00EC" w14:textId="77777777" w:rsidR="001B33BC" w:rsidRDefault="00000000">
            <w:r>
              <w:rPr>
                <w:sz w:val="18"/>
              </w:rPr>
              <w:t>82.966</w:t>
            </w:r>
          </w:p>
        </w:tc>
        <w:tc>
          <w:tcPr>
            <w:tcW w:w="1728" w:type="dxa"/>
          </w:tcPr>
          <w:p w14:paraId="6DF941E9" w14:textId="77777777" w:rsidR="001B33BC" w:rsidRDefault="00000000">
            <w:r>
              <w:rPr>
                <w:sz w:val="18"/>
              </w:rPr>
              <w:t>13.916</w:t>
            </w:r>
          </w:p>
        </w:tc>
        <w:tc>
          <w:tcPr>
            <w:tcW w:w="1728" w:type="dxa"/>
          </w:tcPr>
          <w:p w14:paraId="0E62823B" w14:textId="77777777" w:rsidR="001B33BC" w:rsidRDefault="00000000">
            <w:r>
              <w:rPr>
                <w:sz w:val="18"/>
              </w:rPr>
              <w:t>10.000</w:t>
            </w:r>
          </w:p>
        </w:tc>
        <w:tc>
          <w:tcPr>
            <w:tcW w:w="1728" w:type="dxa"/>
          </w:tcPr>
          <w:p w14:paraId="742ACB33" w14:textId="77777777" w:rsidR="001B33BC" w:rsidRDefault="00000000">
            <w:r>
              <w:rPr>
                <w:sz w:val="18"/>
              </w:rPr>
              <w:t>102.900</w:t>
            </w:r>
          </w:p>
        </w:tc>
      </w:tr>
      <w:tr w:rsidR="001B33BC" w14:paraId="0BA77EE0" w14:textId="77777777">
        <w:trPr>
          <w:jc w:val="center"/>
        </w:trPr>
        <w:tc>
          <w:tcPr>
            <w:tcW w:w="1728" w:type="dxa"/>
          </w:tcPr>
          <w:p w14:paraId="44BAEBC8" w14:textId="77777777" w:rsidR="001B33BC" w:rsidRDefault="00000000">
            <w:r>
              <w:rPr>
                <w:sz w:val="18"/>
              </w:rPr>
              <w:t>term_3_attendance</w:t>
            </w:r>
          </w:p>
        </w:tc>
        <w:tc>
          <w:tcPr>
            <w:tcW w:w="1728" w:type="dxa"/>
          </w:tcPr>
          <w:p w14:paraId="51F42CED" w14:textId="77777777" w:rsidR="001B33BC" w:rsidRDefault="00000000">
            <w:r>
              <w:rPr>
                <w:sz w:val="18"/>
              </w:rPr>
              <w:t>80.597</w:t>
            </w:r>
          </w:p>
        </w:tc>
        <w:tc>
          <w:tcPr>
            <w:tcW w:w="1728" w:type="dxa"/>
          </w:tcPr>
          <w:p w14:paraId="1F6C4EB3" w14:textId="77777777" w:rsidR="001B33BC" w:rsidRDefault="00000000">
            <w:r>
              <w:rPr>
                <w:sz w:val="18"/>
              </w:rPr>
              <w:t>20.980</w:t>
            </w:r>
          </w:p>
        </w:tc>
        <w:tc>
          <w:tcPr>
            <w:tcW w:w="1728" w:type="dxa"/>
          </w:tcPr>
          <w:p w14:paraId="1913F143" w14:textId="77777777" w:rsidR="001B33BC" w:rsidRDefault="00000000">
            <w:r>
              <w:rPr>
                <w:sz w:val="18"/>
              </w:rPr>
              <w:t>0.000</w:t>
            </w:r>
          </w:p>
        </w:tc>
        <w:tc>
          <w:tcPr>
            <w:tcW w:w="1728" w:type="dxa"/>
          </w:tcPr>
          <w:p w14:paraId="2D1B4EB7" w14:textId="77777777" w:rsidR="001B33BC" w:rsidRDefault="00000000">
            <w:r>
              <w:rPr>
                <w:sz w:val="18"/>
              </w:rPr>
              <w:t>99.000</w:t>
            </w:r>
          </w:p>
        </w:tc>
      </w:tr>
      <w:tr w:rsidR="001B33BC" w14:paraId="19F2EF8E" w14:textId="77777777">
        <w:trPr>
          <w:jc w:val="center"/>
        </w:trPr>
        <w:tc>
          <w:tcPr>
            <w:tcW w:w="1728" w:type="dxa"/>
          </w:tcPr>
          <w:p w14:paraId="33BB1A49" w14:textId="77777777" w:rsidR="001B33BC" w:rsidRDefault="00000000">
            <w:r>
              <w:rPr>
                <w:sz w:val="18"/>
              </w:rPr>
              <w:t>average_exam_score</w:t>
            </w:r>
          </w:p>
        </w:tc>
        <w:tc>
          <w:tcPr>
            <w:tcW w:w="1728" w:type="dxa"/>
          </w:tcPr>
          <w:p w14:paraId="2BEC443A" w14:textId="77777777" w:rsidR="001B33BC" w:rsidRDefault="00000000">
            <w:r>
              <w:rPr>
                <w:sz w:val="18"/>
              </w:rPr>
              <w:t>66.926</w:t>
            </w:r>
          </w:p>
        </w:tc>
        <w:tc>
          <w:tcPr>
            <w:tcW w:w="1728" w:type="dxa"/>
          </w:tcPr>
          <w:p w14:paraId="22023984" w14:textId="77777777" w:rsidR="001B33BC" w:rsidRDefault="00000000">
            <w:r>
              <w:rPr>
                <w:sz w:val="18"/>
              </w:rPr>
              <w:t>11.287</w:t>
            </w:r>
          </w:p>
        </w:tc>
        <w:tc>
          <w:tcPr>
            <w:tcW w:w="1728" w:type="dxa"/>
          </w:tcPr>
          <w:p w14:paraId="4A654BA1" w14:textId="77777777" w:rsidR="001B33BC" w:rsidRDefault="00000000">
            <w:r>
              <w:rPr>
                <w:sz w:val="18"/>
              </w:rPr>
              <w:t>20.500</w:t>
            </w:r>
          </w:p>
        </w:tc>
        <w:tc>
          <w:tcPr>
            <w:tcW w:w="1728" w:type="dxa"/>
          </w:tcPr>
          <w:p w14:paraId="2B132EB0" w14:textId="77777777" w:rsidR="001B33BC" w:rsidRDefault="00000000">
            <w:r>
              <w:rPr>
                <w:sz w:val="18"/>
              </w:rPr>
              <w:t>94.000</w:t>
            </w:r>
          </w:p>
        </w:tc>
      </w:tr>
      <w:tr w:rsidR="001B33BC" w14:paraId="4C82E24A" w14:textId="77777777">
        <w:trPr>
          <w:jc w:val="center"/>
        </w:trPr>
        <w:tc>
          <w:tcPr>
            <w:tcW w:w="1728" w:type="dxa"/>
          </w:tcPr>
          <w:p w14:paraId="17DCD75B" w14:textId="77777777" w:rsidR="001B33BC" w:rsidRDefault="00000000">
            <w:r>
              <w:rPr>
                <w:sz w:val="18"/>
              </w:rPr>
              <w:t>attendance_risk_index</w:t>
            </w:r>
          </w:p>
        </w:tc>
        <w:tc>
          <w:tcPr>
            <w:tcW w:w="1728" w:type="dxa"/>
          </w:tcPr>
          <w:p w14:paraId="0E3E7D74" w14:textId="77777777" w:rsidR="001B33BC" w:rsidRDefault="00000000">
            <w:r>
              <w:rPr>
                <w:sz w:val="18"/>
              </w:rPr>
              <w:t>0.187</w:t>
            </w:r>
          </w:p>
        </w:tc>
        <w:tc>
          <w:tcPr>
            <w:tcW w:w="1728" w:type="dxa"/>
          </w:tcPr>
          <w:p w14:paraId="0E5F71E2" w14:textId="77777777" w:rsidR="001B33BC" w:rsidRDefault="00000000">
            <w:r>
              <w:rPr>
                <w:sz w:val="18"/>
              </w:rPr>
              <w:t>0.173</w:t>
            </w:r>
          </w:p>
        </w:tc>
        <w:tc>
          <w:tcPr>
            <w:tcW w:w="1728" w:type="dxa"/>
          </w:tcPr>
          <w:p w14:paraId="7EA09B0D" w14:textId="77777777" w:rsidR="001B33BC" w:rsidRDefault="00000000">
            <w:r>
              <w:rPr>
                <w:sz w:val="18"/>
              </w:rPr>
              <w:t>0.013</w:t>
            </w:r>
          </w:p>
        </w:tc>
        <w:tc>
          <w:tcPr>
            <w:tcW w:w="1728" w:type="dxa"/>
          </w:tcPr>
          <w:p w14:paraId="72694B83" w14:textId="77777777" w:rsidR="001B33BC" w:rsidRDefault="00000000">
            <w:r>
              <w:rPr>
                <w:sz w:val="18"/>
              </w:rPr>
              <w:t>0.920</w:t>
            </w:r>
          </w:p>
        </w:tc>
      </w:tr>
      <w:tr w:rsidR="001B33BC" w14:paraId="6EBC3210" w14:textId="77777777">
        <w:trPr>
          <w:jc w:val="center"/>
        </w:trPr>
        <w:tc>
          <w:tcPr>
            <w:tcW w:w="1728" w:type="dxa"/>
          </w:tcPr>
          <w:p w14:paraId="54301AE8" w14:textId="77777777" w:rsidR="001B33BC" w:rsidRDefault="00000000">
            <w:r>
              <w:rPr>
                <w:sz w:val="18"/>
              </w:rPr>
              <w:t>socioeconomic_vulnerability_score</w:t>
            </w:r>
          </w:p>
        </w:tc>
        <w:tc>
          <w:tcPr>
            <w:tcW w:w="1728" w:type="dxa"/>
          </w:tcPr>
          <w:p w14:paraId="548510F2" w14:textId="77777777" w:rsidR="001B33BC" w:rsidRDefault="00000000">
            <w:r>
              <w:rPr>
                <w:sz w:val="18"/>
              </w:rPr>
              <w:t>0.407</w:t>
            </w:r>
          </w:p>
        </w:tc>
        <w:tc>
          <w:tcPr>
            <w:tcW w:w="1728" w:type="dxa"/>
          </w:tcPr>
          <w:p w14:paraId="0FE7E584" w14:textId="77777777" w:rsidR="001B33BC" w:rsidRDefault="00000000">
            <w:r>
              <w:rPr>
                <w:sz w:val="18"/>
              </w:rPr>
              <w:t>0.275</w:t>
            </w:r>
          </w:p>
        </w:tc>
        <w:tc>
          <w:tcPr>
            <w:tcW w:w="1728" w:type="dxa"/>
          </w:tcPr>
          <w:p w14:paraId="4E5CA503" w14:textId="77777777" w:rsidR="001B33BC" w:rsidRDefault="00000000">
            <w:r>
              <w:rPr>
                <w:sz w:val="18"/>
              </w:rPr>
              <w:t>0.000</w:t>
            </w:r>
          </w:p>
        </w:tc>
        <w:tc>
          <w:tcPr>
            <w:tcW w:w="1728" w:type="dxa"/>
          </w:tcPr>
          <w:p w14:paraId="5333366F" w14:textId="77777777" w:rsidR="001B33BC" w:rsidRDefault="00000000">
            <w:r>
              <w:rPr>
                <w:sz w:val="18"/>
              </w:rPr>
              <w:t>1.000</w:t>
            </w:r>
          </w:p>
        </w:tc>
      </w:tr>
      <w:tr w:rsidR="001B33BC" w14:paraId="46C1FEFD" w14:textId="77777777">
        <w:trPr>
          <w:jc w:val="center"/>
        </w:trPr>
        <w:tc>
          <w:tcPr>
            <w:tcW w:w="1728" w:type="dxa"/>
          </w:tcPr>
          <w:p w14:paraId="44D985AD" w14:textId="77777777" w:rsidR="001B33BC" w:rsidRDefault="00000000">
            <w:r>
              <w:rPr>
                <w:sz w:val="18"/>
              </w:rPr>
              <w:t>behavioral_engagement_index</w:t>
            </w:r>
          </w:p>
        </w:tc>
        <w:tc>
          <w:tcPr>
            <w:tcW w:w="1728" w:type="dxa"/>
          </w:tcPr>
          <w:p w14:paraId="67EA0D0B" w14:textId="77777777" w:rsidR="001B33BC" w:rsidRDefault="00000000">
            <w:r>
              <w:rPr>
                <w:sz w:val="18"/>
              </w:rPr>
              <w:t>0.608</w:t>
            </w:r>
          </w:p>
        </w:tc>
        <w:tc>
          <w:tcPr>
            <w:tcW w:w="1728" w:type="dxa"/>
          </w:tcPr>
          <w:p w14:paraId="19035EFA" w14:textId="77777777" w:rsidR="001B33BC" w:rsidRDefault="00000000">
            <w:r>
              <w:rPr>
                <w:sz w:val="18"/>
              </w:rPr>
              <w:t>0.231</w:t>
            </w:r>
          </w:p>
        </w:tc>
        <w:tc>
          <w:tcPr>
            <w:tcW w:w="1728" w:type="dxa"/>
          </w:tcPr>
          <w:p w14:paraId="315F5997" w14:textId="77777777" w:rsidR="001B33BC" w:rsidRDefault="00000000">
            <w:r>
              <w:rPr>
                <w:sz w:val="18"/>
              </w:rPr>
              <w:t>0.057</w:t>
            </w:r>
          </w:p>
        </w:tc>
        <w:tc>
          <w:tcPr>
            <w:tcW w:w="1728" w:type="dxa"/>
          </w:tcPr>
          <w:p w14:paraId="31FCB53F" w14:textId="77777777" w:rsidR="001B33BC" w:rsidRDefault="00000000">
            <w:r>
              <w:rPr>
                <w:sz w:val="18"/>
              </w:rPr>
              <w:t>1.000</w:t>
            </w:r>
          </w:p>
        </w:tc>
      </w:tr>
    </w:tbl>
    <w:p w14:paraId="1B60063B" w14:textId="77777777" w:rsidR="001B33BC" w:rsidRDefault="001B33BC"/>
    <w:p w14:paraId="4DDBC280" w14:textId="77777777" w:rsidR="001B33BC" w:rsidRDefault="00000000">
      <w:pPr>
        <w:pStyle w:val="Heading2"/>
      </w:pPr>
      <w:r>
        <w:t>M8. Class Imbalance Handling</w:t>
      </w:r>
    </w:p>
    <w:p w14:paraId="02C183C4" w14:textId="77777777" w:rsidR="001B33BC" w:rsidRDefault="00000000">
      <w:r>
        <w:t>The observed class distribution in the full dataset was approximately 90 to 93 percent retained pupils and 7 to 10 percent dropout cases. This qualifies as severe class imbalance.</w:t>
      </w:r>
    </w:p>
    <w:p w14:paraId="54E8B2D2" w14:textId="77777777" w:rsidR="001B33BC" w:rsidRDefault="00000000">
      <w:r>
        <w:t>Two augmentation techniques were investigated for the minority class during baseline comparison: SMOTE (Chawla et al., 2002) and CTGAN (Xu et al., 2019). Both were applied strictly to the training partition only, after the train/test split. No synthetic or resampled instance appeared in any validation or test partition at any point during the study.</w:t>
      </w:r>
    </w:p>
    <w:p w14:paraId="7E20FA1B" w14:textId="77777777" w:rsidR="001B33BC" w:rsidRDefault="00000000">
      <w:r>
        <w:t>That said, the proposed E-LightGBM model was not trained with either augmentation technique. Instead, class imbalance was addressed through the focal-loss training objective (M12), which reweights gradients on the basis of prediction confidence rather than resampling the underlying data distribution. Combining synthetic oversampling with a loss function that already reweights by class would risk compounding distributional distortion, so the focal-loss objective was applied to the original, unaugmented training set. The SMOTE and CTGAN experiments served as a comparison exercise, not as part of the proposed pipeline.</w:t>
      </w:r>
    </w:p>
    <w:p w14:paraId="5227CA27" w14:textId="77777777" w:rsidR="001B33BC" w:rsidRDefault="00000000">
      <w:pPr>
        <w:pStyle w:val="Heading2"/>
      </w:pPr>
      <w:r>
        <w:t>M9. Data Partitioning Protocol</w:t>
      </w:r>
    </w:p>
    <w:p w14:paraId="5B832D2E" w14:textId="77777777" w:rsidR="001B33BC" w:rsidRDefault="00000000">
      <w:r>
        <w:t>The dataset was divided into a training partition (80%) and a held-out test partition (20%) using stratified random sampling, with stratification on the binary dropout label to preserve the class ratio in both partitions. The random seed for this split was 42 (random_state = 42 in scikit-learn's train_test_split).</w:t>
      </w:r>
    </w:p>
    <w:p w14:paraId="526936F2" w14:textId="77777777" w:rsidR="001B33BC" w:rsidRDefault="00000000">
      <w:r>
        <w:t>Model comparison was then conducted using 5-fold stratified cross-validation, repeated across 5 independent runs (random_state = 42), producing 25 fold-level results in total per model. Performance is reported as mean plus or minus standard deviation across these 25 folds.</w:t>
      </w:r>
    </w:p>
    <w:p w14:paraId="296DB7B5" w14:textId="77777777" w:rsidR="001B33BC" w:rsidRDefault="00000000">
      <w:r>
        <w:t>Each pupil-level record in the dataset represents a distinct individual. There is no clustering structure that would require a grouped split: no pupil appears more than once, and no school-level grouping variable spans partitions. The data also lack a temporal dimension warranting a time-ordered holdout, since all records were collected within a single four-week window and describe one academic period.</w:t>
      </w:r>
    </w:p>
    <w:p w14:paraId="712D73C4" w14:textId="77777777" w:rsidR="001B33BC" w:rsidRDefault="00000000">
      <w:pPr>
        <w:pStyle w:val="Heading2"/>
      </w:pPr>
      <w:r>
        <w:lastRenderedPageBreak/>
        <w:t>M10. Dataset Combining Strategy Declaration</w:t>
      </w:r>
    </w:p>
    <w:p w14:paraId="77BF1E4F" w14:textId="77777777" w:rsidR="001B33BC" w:rsidRDefault="00000000">
      <w:r>
        <w:t>The dataset strategy is SINGLE-SOURCE. All model training and evaluation used one dataset only: the Kumasi Metro Pupil Dropout Dataset described in M3.</w:t>
      </w:r>
    </w:p>
    <w:p w14:paraId="79FAC37E" w14:textId="77777777" w:rsidR="001B33BC" w:rsidRDefault="00000000">
      <w:r>
        <w:t>No external dataset was combined, pooled, or concatenated with the field data at any point. The SMOTE and CTGAN experiments referenced in M8 generated synthetic minority-class instances within the training partition only, and those were used solely for the baseline augmentation comparison. The proposed E-LightGBM was trained on raw, unaugmented field data without any synthetic supplementation.</w:t>
      </w:r>
    </w:p>
    <w:p w14:paraId="242AB049" w14:textId="77777777" w:rsidR="001B33BC" w:rsidRDefault="00000000">
      <w:r>
        <w:t>A single-source design supports a Tier 1 bounded claim, meaning all findings are scoped to the population and context from which the data were collected: basic school pupils in the Kumasi Metropolitan Assembly, Ashanti Region, Ghana. No claim of generalisability or transferability to other regions, school systems, or demographic settings is made.</w:t>
      </w:r>
    </w:p>
    <w:p w14:paraId="14B9AF92" w14:textId="77777777" w:rsidR="001B33BC" w:rsidRDefault="00000000">
      <w:r>
        <w:t>The training notebook and split logic can be found in the repository referenced in M21.</w:t>
      </w:r>
    </w:p>
    <w:p w14:paraId="32913FB8" w14:textId="77777777" w:rsidR="001B33BC" w:rsidRDefault="00000000">
      <w:pPr>
        <w:pStyle w:val="Heading2"/>
      </w:pPr>
      <w:r>
        <w:t>M11. Baseline Selection and Justification</w:t>
      </w:r>
    </w:p>
    <w:p w14:paraId="09463ADB" w14:textId="77777777" w:rsidR="001B33BC" w:rsidRDefault="00000000">
      <w:r>
        <w:t>Six baseline classifiers were evaluated: Logistic Regression, Decision Tree, Random Forest, XGBoost (Chen and Guestrin, 2016), LightGBM (Ke et al., 2017), and CatBoost (Prokhorenkova et al., 2018). These span three model families: a linear model, a single-tree model, and four gradient-boosted ensembles, which together provide a reasonably broad comparator set for this binary classification task.</w:t>
      </w:r>
    </w:p>
    <w:p w14:paraId="664CA232" w14:textId="77777777" w:rsidR="001B33BC" w:rsidRDefault="00000000">
      <w:r>
        <w:t>LightGBM was selected as the substrate for the engineering intervention described in M12. It was competitive with the strongest baseline in the initial comparison, and, perhaps more importantly, it was the only classifier among the six that natively supports a fully custom training objective via its objective parameter. That capability was a prerequisite for the loss-function substitution at the heart of this study. Without it, the focal-loss intervention could not have been implemented cleanly within the existing framework.</w:t>
      </w:r>
    </w:p>
    <w:p w14:paraId="24F752AC" w14:textId="77777777" w:rsidR="001B33BC" w:rsidRDefault="00000000">
      <w:r>
        <w:t>Every baseline received identical data access: the same training partition, the same feature set, and the same 80/20 split. Every baseline also received the same tuning budget, which in this case was manual selection of a shared hyperparameter configuration (M13). No baseline was trained on less data or given fewer tuning iterations than the proposed model.</w:t>
      </w:r>
    </w:p>
    <w:p w14:paraId="3F2B69A6" w14:textId="77777777" w:rsidR="001B33BC" w:rsidRDefault="00000000">
      <w:r>
        <w:t>CatBoost (Prokhorenkova et al., 2018) is the most recent baseline in this comparison. A 2023 or 2024 baseline would strengthen the set further, though it is worth noting that no fundamentally new gradient-boosting framework has emerged since CatBoost that would materially alter the competitive landscape for tabular classification at this scale.</w:t>
      </w:r>
    </w:p>
    <w:p w14:paraId="7F80E4FC" w14:textId="77777777" w:rsidR="001B33BC" w:rsidRDefault="00000000">
      <w:pPr>
        <w:pStyle w:val="Heading2"/>
      </w:pPr>
      <w:r>
        <w:lastRenderedPageBreak/>
        <w:t>M12. Proposed Model Specification and Engineering Operation</w:t>
      </w:r>
    </w:p>
    <w:p w14:paraId="0EDD9607" w14:textId="77777777" w:rsidR="001B33BC" w:rsidRDefault="00000000">
      <w:r>
        <w:t>The model is declared ENGINEERED. The engineering operation is REPLACE: the default binary cross-entropy training objective in LightGBM was substituted with a focal-loss objective adapted from Lin et al. (2017), producing the proposed Enhanced LightGBM (E-LightGBM).</w:t>
      </w:r>
    </w:p>
    <w:p w14:paraId="65D15565" w14:textId="77777777" w:rsidR="001B33BC" w:rsidRDefault="00000000">
      <w:r>
        <w:t>In a standard LightGBM classifier, every misclassified instance receives the same gradient weight regardless of how confident the prediction was or which class the instance belongs to. Under severe class imbalance, this means the majority class dominates the gradient signal simply because it provides more training examples. The focal-loss modification addresses this asymmetry by down-weighting the gradient contribution of confident, correctly classified examples and concentrating learning capacity on harder, more uncertain, minority-class instances.</w:t>
      </w:r>
    </w:p>
    <w:p w14:paraId="2AC5EF24" w14:textId="77777777" w:rsidR="001B33BC" w:rsidRDefault="00000000">
      <w:r>
        <w:t>The focal loss is defined as:</w:t>
      </w:r>
    </w:p>
    <w:p w14:paraId="0673FDB1" w14:textId="77777777" w:rsidR="001B33BC" w:rsidRDefault="00000000">
      <w:r>
        <w:t xml:space="preserve">L_focal = -a(1-p)^g </w:t>
      </w:r>
      <w:r>
        <w:rPr>
          <w:i/>
        </w:rPr>
        <w:t xml:space="preserve"> y </w:t>
      </w:r>
      <w:r>
        <w:t xml:space="preserve"> log(p) - (1-a) </w:t>
      </w:r>
      <w:r>
        <w:rPr>
          <w:i/>
        </w:rPr>
        <w:t xml:space="preserve"> p^g </w:t>
      </w:r>
      <w:r>
        <w:t xml:space="preserve"> (1-y)  log(1-p)</w:t>
      </w:r>
    </w:p>
    <w:p w14:paraId="2AD818F6" w14:textId="77777777" w:rsidR="001B33BC" w:rsidRDefault="00000000">
      <w:r>
        <w:t>where p is the predicted probability of the positive (dropout) class, y is the true label, g (gamma) = 2.0 is a focusing exponent that controls how aggressively easy examples are down-weighted, and a (alpha) = 0.75 is a class-weighting scalar assigning a larger gradient penalty to misclassified dropout cases. These values follow the parameterisation recommended for severe imbalance in the original focal-loss paper (Lin et al., 2017).</w:t>
      </w:r>
    </w:p>
    <w:p w14:paraId="3F426EE8" w14:textId="77777777" w:rsidR="001B33BC" w:rsidRDefault="00000000">
      <w:r>
        <w:t>The corresponding gradient and Hessian were derived analytically and supplied to LightGBM via the objective parameter as a custom training objective. Every other component of the LightGBM architecture (leaf-wise tree growth, L2 regularisation, histogram-based splitting) remained unmodified. The hyperparameters listed in M13 were held constant between the baseline and E-LightGBM, so that any observed difference can, in principle, be attributed to the loss-function substitution alone.</w:t>
      </w:r>
    </w:p>
    <w:p w14:paraId="72A59671" w14:textId="77777777" w:rsidR="001B33BC" w:rsidRDefault="00000000">
      <w:r>
        <w:t>Figure 3 in the accompanying materials illustrates the architectural comparison between the baseline LightGBM and the proposed E-LightGBM, with the substituted focal-loss component highlighted.</w:t>
      </w:r>
    </w:p>
    <w:p w14:paraId="558956EC" w14:textId="77777777" w:rsidR="001B33BC" w:rsidRDefault="00000000">
      <w:r>
        <w:t>Algorithm 1 in the training notebook documents the full E-LightGBM training procedure, with the focal-loss gradient and Hessian computation explicitly marked at the per-instance level within each boosting iteration.</w:t>
      </w:r>
    </w:p>
    <w:p w14:paraId="5FADA0C8" w14:textId="22FDFF16" w:rsidR="00A7613F" w:rsidRDefault="00A7613F">
      <w:r>
        <w:rPr>
          <w:noProof/>
        </w:rPr>
        <w:lastRenderedPageBreak/>
        <w:drawing>
          <wp:inline distT="0" distB="0" distL="0" distR="0" wp14:anchorId="052FC517" wp14:editId="57C6D731">
            <wp:extent cx="5333999" cy="3740150"/>
            <wp:effectExtent l="0" t="0" r="635"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rotWithShape="1">
                    <a:blip r:embed="rId6"/>
                    <a:srcRect t="4533" b="4533"/>
                    <a:stretch>
                      <a:fillRect/>
                    </a:stretch>
                  </pic:blipFill>
                  <pic:spPr>
                    <a:xfrm>
                      <a:off x="0" y="0"/>
                      <a:ext cx="5336223" cy="3741710"/>
                    </a:xfrm>
                    <a:prstGeom prst="rect">
                      <a:avLst/>
                    </a:prstGeom>
                  </pic:spPr>
                </pic:pic>
              </a:graphicData>
            </a:graphic>
          </wp:inline>
        </w:drawing>
      </w:r>
    </w:p>
    <w:p w14:paraId="5AB06101" w14:textId="77777777" w:rsidR="00A7613F" w:rsidRPr="00A7613F" w:rsidRDefault="00A7613F" w:rsidP="00A7613F">
      <w:pPr>
        <w:spacing w:after="250"/>
        <w:rPr>
          <w:sz w:val="20"/>
          <w:szCs w:val="20"/>
        </w:rPr>
      </w:pPr>
      <w:r w:rsidRPr="00A7613F">
        <w:rPr>
          <w:i/>
          <w:iCs/>
          <w:sz w:val="20"/>
          <w:szCs w:val="20"/>
        </w:rPr>
        <w:t>Figure 3. Architectural comparison of the baseline LightGBM and the proposed E-LightGBM, with the substituted focal-loss objective highlighted.</w:t>
      </w:r>
    </w:p>
    <w:p w14:paraId="0A52445E" w14:textId="77777777" w:rsidR="00A7613F" w:rsidRPr="00A7613F" w:rsidRDefault="00A7613F">
      <w:pPr>
        <w:rPr>
          <w:sz w:val="18"/>
          <w:szCs w:val="18"/>
        </w:rPr>
      </w:pPr>
    </w:p>
    <w:p w14:paraId="60334464" w14:textId="77777777" w:rsidR="00A7613F" w:rsidRPr="00A7613F" w:rsidRDefault="00A7613F" w:rsidP="00A7613F">
      <w:pPr>
        <w:rPr>
          <w:sz w:val="18"/>
          <w:szCs w:val="18"/>
        </w:rPr>
      </w:pPr>
      <w:r w:rsidRPr="00A7613F">
        <w:rPr>
          <w:b/>
          <w:bCs/>
          <w:sz w:val="18"/>
          <w:szCs w:val="18"/>
        </w:rPr>
        <w:t>Algorithm 1: E-LightGBM training procedure</w:t>
      </w:r>
    </w:p>
    <w:p w14:paraId="29D3A72B" w14:textId="77777777" w:rsidR="00A7613F" w:rsidRPr="00A7613F" w:rsidRDefault="00A7613F" w:rsidP="00A7613F">
      <w:pPr>
        <w:rPr>
          <w:sz w:val="18"/>
          <w:szCs w:val="18"/>
        </w:rPr>
      </w:pPr>
      <w:r w:rsidRPr="00A7613F">
        <w:rPr>
          <w:sz w:val="18"/>
          <w:szCs w:val="18"/>
        </w:rPr>
        <w:t>Input:  training set (X, y), boosting rounds T=300, leaves L=31,</w:t>
      </w:r>
    </w:p>
    <w:p w14:paraId="37C0D33F" w14:textId="77777777" w:rsidR="00A7613F" w:rsidRPr="00A7613F" w:rsidRDefault="00A7613F" w:rsidP="00A7613F">
      <w:pPr>
        <w:rPr>
          <w:sz w:val="18"/>
          <w:szCs w:val="18"/>
        </w:rPr>
      </w:pPr>
      <w:r w:rsidRPr="00A7613F">
        <w:rPr>
          <w:sz w:val="18"/>
          <w:szCs w:val="18"/>
        </w:rPr>
        <w:t>        learning rate η=0.05, subsample=0.8, colsample=0.8,</w:t>
      </w:r>
    </w:p>
    <w:p w14:paraId="7B74DB52" w14:textId="77777777" w:rsidR="00A7613F" w:rsidRPr="00A7613F" w:rsidRDefault="00A7613F" w:rsidP="00A7613F">
      <w:pPr>
        <w:rPr>
          <w:sz w:val="18"/>
          <w:szCs w:val="18"/>
        </w:rPr>
      </w:pPr>
      <w:r w:rsidRPr="00A7613F">
        <w:rPr>
          <w:sz w:val="18"/>
          <w:szCs w:val="18"/>
        </w:rPr>
        <w:t>        focal-loss parameters γ=2.0, α=0.75</w:t>
      </w:r>
    </w:p>
    <w:p w14:paraId="4D0EC4E9" w14:textId="77777777" w:rsidR="00A7613F" w:rsidRPr="00A7613F" w:rsidRDefault="00A7613F" w:rsidP="00A7613F">
      <w:pPr>
        <w:rPr>
          <w:sz w:val="18"/>
          <w:szCs w:val="18"/>
        </w:rPr>
      </w:pPr>
      <w:r w:rsidRPr="00A7613F">
        <w:rPr>
          <w:sz w:val="18"/>
          <w:szCs w:val="18"/>
        </w:rPr>
        <w:t>Output: trained ensemble F_T(x)</w:t>
      </w:r>
    </w:p>
    <w:p w14:paraId="4AA4FCAE" w14:textId="77777777" w:rsidR="00A7613F" w:rsidRPr="00A7613F" w:rsidRDefault="00A7613F" w:rsidP="00A7613F">
      <w:pPr>
        <w:rPr>
          <w:sz w:val="18"/>
          <w:szCs w:val="18"/>
        </w:rPr>
      </w:pPr>
      <w:r w:rsidRPr="00A7613F">
        <w:rPr>
          <w:sz w:val="18"/>
          <w:szCs w:val="18"/>
        </w:rPr>
        <w:t xml:space="preserve">1:  F_0(x) ← 0                                   </w:t>
      </w:r>
      <w:r w:rsidRPr="00A7613F">
        <w:rPr>
          <w:rFonts w:ascii="Cambria Math" w:hAnsi="Cambria Math" w:cs="Cambria Math"/>
          <w:sz w:val="18"/>
          <w:szCs w:val="18"/>
        </w:rPr>
        <w:t>▷</w:t>
      </w:r>
      <w:r w:rsidRPr="00A7613F">
        <w:rPr>
          <w:sz w:val="18"/>
          <w:szCs w:val="18"/>
        </w:rPr>
        <w:t xml:space="preserve"> initialize model</w:t>
      </w:r>
    </w:p>
    <w:p w14:paraId="367E777A" w14:textId="77777777" w:rsidR="00A7613F" w:rsidRPr="00A7613F" w:rsidRDefault="00A7613F" w:rsidP="00A7613F">
      <w:pPr>
        <w:rPr>
          <w:sz w:val="18"/>
          <w:szCs w:val="18"/>
        </w:rPr>
      </w:pPr>
      <w:r w:rsidRPr="00A7613F">
        <w:rPr>
          <w:sz w:val="18"/>
          <w:szCs w:val="18"/>
        </w:rPr>
        <w:t>2:  for t = 1 to T do</w:t>
      </w:r>
    </w:p>
    <w:p w14:paraId="2CBA5C1D" w14:textId="77777777" w:rsidR="00A7613F" w:rsidRPr="00A7613F" w:rsidRDefault="00A7613F" w:rsidP="00A7613F">
      <w:pPr>
        <w:rPr>
          <w:sz w:val="18"/>
          <w:szCs w:val="18"/>
        </w:rPr>
      </w:pPr>
      <w:r w:rsidRPr="00A7613F">
        <w:rPr>
          <w:sz w:val="18"/>
          <w:szCs w:val="18"/>
        </w:rPr>
        <w:t>3:      for each training instance i do</w:t>
      </w:r>
    </w:p>
    <w:p w14:paraId="046C8162" w14:textId="77777777" w:rsidR="00A7613F" w:rsidRPr="00A7613F" w:rsidRDefault="00A7613F" w:rsidP="00A7613F">
      <w:pPr>
        <w:rPr>
          <w:sz w:val="18"/>
          <w:szCs w:val="18"/>
        </w:rPr>
      </w:pPr>
      <w:r w:rsidRPr="00A7613F">
        <w:rPr>
          <w:sz w:val="18"/>
          <w:szCs w:val="18"/>
        </w:rPr>
        <w:t>4:          p_i ← sigmoid(F_{t-1}(x_i))</w:t>
      </w:r>
    </w:p>
    <w:p w14:paraId="51AC2C98" w14:textId="77777777" w:rsidR="00A7613F" w:rsidRPr="00A7613F" w:rsidRDefault="00A7613F" w:rsidP="00A7613F">
      <w:pPr>
        <w:rPr>
          <w:sz w:val="18"/>
          <w:szCs w:val="18"/>
        </w:rPr>
      </w:pPr>
      <w:r w:rsidRPr="00A7613F">
        <w:rPr>
          <w:sz w:val="18"/>
          <w:szCs w:val="18"/>
        </w:rPr>
        <w:t>5:          pt_i ← y_i · p_i + (1 − y_i) · (1 − p_i)</w:t>
      </w:r>
    </w:p>
    <w:p w14:paraId="5537B290" w14:textId="77777777" w:rsidR="00A7613F" w:rsidRPr="00A7613F" w:rsidRDefault="00A7613F" w:rsidP="00A7613F">
      <w:pPr>
        <w:rPr>
          <w:sz w:val="18"/>
          <w:szCs w:val="18"/>
        </w:rPr>
      </w:pPr>
      <w:r w:rsidRPr="00A7613F">
        <w:rPr>
          <w:sz w:val="18"/>
          <w:szCs w:val="18"/>
        </w:rPr>
        <w:t>6:          α_t,i ← y_i · α + (1 − y_i) · (1 − α)</w:t>
      </w:r>
    </w:p>
    <w:p w14:paraId="54CA1501" w14:textId="77777777" w:rsidR="00A7613F" w:rsidRPr="00A7613F" w:rsidRDefault="00A7613F" w:rsidP="00A7613F">
      <w:pPr>
        <w:rPr>
          <w:sz w:val="18"/>
          <w:szCs w:val="18"/>
        </w:rPr>
      </w:pPr>
      <w:r w:rsidRPr="00A7613F">
        <w:rPr>
          <w:sz w:val="18"/>
          <w:szCs w:val="18"/>
        </w:rPr>
        <w:t xml:space="preserve">7:          g_i ← ∂L_focal / ∂F_{t-1}(x_i)        </w:t>
      </w:r>
      <w:r w:rsidRPr="00A7613F">
        <w:rPr>
          <w:rFonts w:ascii="Cambria Math" w:hAnsi="Cambria Math" w:cs="Cambria Math"/>
          <w:sz w:val="18"/>
          <w:szCs w:val="18"/>
        </w:rPr>
        <w:t>▷</w:t>
      </w:r>
      <w:r w:rsidRPr="00A7613F">
        <w:rPr>
          <w:sz w:val="18"/>
          <w:szCs w:val="18"/>
        </w:rPr>
        <w:t xml:space="preserve"> FOCAL-LOSS GRADIENT</w:t>
      </w:r>
    </w:p>
    <w:p w14:paraId="6794A745" w14:textId="77777777" w:rsidR="00A7613F" w:rsidRPr="00A7613F" w:rsidRDefault="00A7613F" w:rsidP="00A7613F">
      <w:pPr>
        <w:rPr>
          <w:sz w:val="18"/>
          <w:szCs w:val="18"/>
        </w:rPr>
      </w:pPr>
      <w:r w:rsidRPr="00A7613F">
        <w:rPr>
          <w:sz w:val="18"/>
          <w:szCs w:val="18"/>
        </w:rPr>
        <w:lastRenderedPageBreak/>
        <w:t xml:space="preserve">8:          h_i ← ∂²L_focal / ∂F_{t-1}(x_i)²      </w:t>
      </w:r>
      <w:r w:rsidRPr="00A7613F">
        <w:rPr>
          <w:rFonts w:ascii="Cambria Math" w:hAnsi="Cambria Math" w:cs="Cambria Math"/>
          <w:sz w:val="18"/>
          <w:szCs w:val="18"/>
        </w:rPr>
        <w:t>▷</w:t>
      </w:r>
      <w:r w:rsidRPr="00A7613F">
        <w:rPr>
          <w:sz w:val="18"/>
          <w:szCs w:val="18"/>
        </w:rPr>
        <w:t xml:space="preserve"> FOCAL-LOSS HESSIAN</w:t>
      </w:r>
    </w:p>
    <w:p w14:paraId="4CE1EF16" w14:textId="77777777" w:rsidR="00A7613F" w:rsidRPr="00A7613F" w:rsidRDefault="00A7613F" w:rsidP="00A7613F">
      <w:pPr>
        <w:rPr>
          <w:sz w:val="18"/>
          <w:szCs w:val="18"/>
        </w:rPr>
      </w:pPr>
      <w:r w:rsidRPr="00A7613F">
        <w:rPr>
          <w:sz w:val="18"/>
          <w:szCs w:val="18"/>
        </w:rPr>
        <w:t>9:      end for</w:t>
      </w:r>
    </w:p>
    <w:p w14:paraId="129E03D9" w14:textId="77777777" w:rsidR="00A7613F" w:rsidRPr="00A7613F" w:rsidRDefault="00A7613F" w:rsidP="00A7613F">
      <w:pPr>
        <w:rPr>
          <w:sz w:val="18"/>
          <w:szCs w:val="18"/>
        </w:rPr>
      </w:pPr>
      <w:r w:rsidRPr="00A7613F">
        <w:rPr>
          <w:sz w:val="18"/>
          <w:szCs w:val="18"/>
        </w:rPr>
        <w:t>10:     T_t ← FitLeafWiseTree(X, {g_i}, {h_i}; L, subsample, colsample)</w:t>
      </w:r>
    </w:p>
    <w:p w14:paraId="5306620A" w14:textId="77777777" w:rsidR="00A7613F" w:rsidRPr="00A7613F" w:rsidRDefault="00A7613F" w:rsidP="00A7613F">
      <w:pPr>
        <w:rPr>
          <w:sz w:val="18"/>
          <w:szCs w:val="18"/>
        </w:rPr>
      </w:pPr>
      <w:r w:rsidRPr="00A7613F">
        <w:rPr>
          <w:sz w:val="18"/>
          <w:szCs w:val="18"/>
        </w:rPr>
        <w:t>11:     F_t(x) ← F_{t-1}(x) + η · T_t(x)</w:t>
      </w:r>
    </w:p>
    <w:p w14:paraId="36EBFB0A" w14:textId="77777777" w:rsidR="00A7613F" w:rsidRPr="00A7613F" w:rsidRDefault="00A7613F" w:rsidP="00A7613F">
      <w:pPr>
        <w:rPr>
          <w:sz w:val="18"/>
          <w:szCs w:val="18"/>
        </w:rPr>
      </w:pPr>
      <w:r w:rsidRPr="00A7613F">
        <w:rPr>
          <w:sz w:val="18"/>
          <w:szCs w:val="18"/>
        </w:rPr>
        <w:t>12: end for</w:t>
      </w:r>
    </w:p>
    <w:p w14:paraId="22D435F7" w14:textId="2DE5D2D6" w:rsidR="00A7613F" w:rsidRPr="00A7613F" w:rsidRDefault="00A7613F" w:rsidP="00A7613F">
      <w:pPr>
        <w:rPr>
          <w:sz w:val="18"/>
          <w:szCs w:val="18"/>
        </w:rPr>
      </w:pPr>
      <w:r w:rsidRPr="00A7613F">
        <w:rPr>
          <w:sz w:val="18"/>
          <w:szCs w:val="18"/>
        </w:rPr>
        <w:t>13: return F_T</w:t>
      </w:r>
    </w:p>
    <w:p w14:paraId="0417D7B0" w14:textId="77777777" w:rsidR="00A7613F" w:rsidRPr="00A7613F" w:rsidRDefault="00A7613F" w:rsidP="00A7613F">
      <w:pPr>
        <w:spacing w:after="250"/>
        <w:rPr>
          <w:sz w:val="20"/>
          <w:szCs w:val="20"/>
        </w:rPr>
      </w:pPr>
      <w:r w:rsidRPr="00A7613F">
        <w:rPr>
          <w:i/>
          <w:iCs/>
          <w:sz w:val="20"/>
          <w:szCs w:val="20"/>
        </w:rPr>
        <w:t>Algorithm 1. E-LightGBM training procedure, with the focal-loss gradient/Hessian computation explicitly marked.</w:t>
      </w:r>
    </w:p>
    <w:p w14:paraId="48376F42" w14:textId="43F5F399" w:rsidR="00A7613F" w:rsidRPr="00A7613F" w:rsidRDefault="00A7613F">
      <w:pPr>
        <w:pStyle w:val="Heading2"/>
        <w:rPr>
          <w:b w:val="0"/>
          <w:bCs w:val="0"/>
          <w:sz w:val="22"/>
          <w:szCs w:val="22"/>
        </w:rPr>
      </w:pPr>
    </w:p>
    <w:p w14:paraId="10D88EE7" w14:textId="79A4F427" w:rsidR="001B33BC" w:rsidRDefault="00000000">
      <w:pPr>
        <w:pStyle w:val="Heading2"/>
      </w:pPr>
      <w:r>
        <w:t>M13. Hyperparameter Optimisation and Tuning Budget Parity</w:t>
      </w:r>
    </w:p>
    <w:p w14:paraId="5EEEEE5C" w14:textId="77777777" w:rsidR="001B33BC" w:rsidRDefault="00000000">
      <w:r>
        <w:t>No automated hyperparameter search was conducted. All hyperparameters were set manually and held identical across the baseline LightGBM and E-LightGBM, as well as across the other gradient-boosted baselines where the same parameters applied.</w:t>
      </w:r>
    </w:p>
    <w:p w14:paraId="0F3B3357" w14:textId="77777777" w:rsidR="001B33BC" w:rsidRDefault="00000000">
      <w:r>
        <w:t>The shared configuration was: 300 boosting rounds, 31 leaves per tree, a learning rate of 0.05, a row subsample ratio of 0.8, and a column subsample ratio of 0.8. For the baseline LightGBM, the is_unbalance flag was set to True; for E-LightGBM, imbalance handling was delegated entirely to the focal-loss objective (M12), and is_unbalance was disabled.</w:t>
      </w:r>
    </w:p>
    <w:p w14:paraId="6D2D4401" w14:textId="77777777" w:rsidR="001B33BC" w:rsidRDefault="00000000">
      <w:r>
        <w:t>The decision to use fixed hyperparameters rather than a grid, random, or Bayesian search was deliberate. The research question concerns the effect of the loss-function substitution, not the interaction between loss function and hyperparameter tuning. Holding all hyperparameters constant isolates the single variable under test.</w:t>
      </w:r>
    </w:p>
    <w:p w14:paraId="7C96CB6D" w14:textId="77777777" w:rsidR="001B33BC" w:rsidRDefault="00000000">
      <w:r>
        <w:t>Every model, baseline and proposed alike, received the same trial budget: one configuration per model. No model was given additional tuning iterations or a wider search space than any other.</w:t>
      </w:r>
    </w:p>
    <w:p w14:paraId="4007188C" w14:textId="77777777" w:rsidR="001B33BC" w:rsidRDefault="00000000">
      <w:pPr>
        <w:pStyle w:val="Heading2"/>
      </w:pPr>
      <w:r>
        <w:t>M14. Training Protocol, Seeds and Reproducibility</w:t>
      </w:r>
    </w:p>
    <w:p w14:paraId="6B4587C0" w14:textId="77777777" w:rsidR="001B33BC" w:rsidRDefault="00000000">
      <w:r>
        <w:t>Each model was trained using 5-fold stratified cross-validation repeated across 5 independent runs, producing 25 fold-level results per model. The random seed for all splits was 42 (random_state = 42 in scikit-learn's StratifiedKFold and train_test_split). Early stopping was not applied; every model trained for the full 300 boosting rounds specified in M13.</w:t>
      </w:r>
    </w:p>
    <w:p w14:paraId="6575C93C" w14:textId="77777777" w:rsidR="001B33BC" w:rsidRDefault="00000000">
      <w:r>
        <w:t>All reported performance figures are aggregated across the 25 folds as mean plus or minus standard deviation. No single-run value is presented as a standalone result anywhere in this study.</w:t>
      </w:r>
    </w:p>
    <w:p w14:paraId="72B5DFA1" w14:textId="77777777" w:rsidR="001B33BC" w:rsidRDefault="00000000">
      <w:r>
        <w:t xml:space="preserve">The primary evaluation used a single seed (42). To assess the sensitivity of the comparison to seed selection, a supplementary robustness protocol was conducted in the diagnostic notebook </w:t>
      </w:r>
      <w:r>
        <w:lastRenderedPageBreak/>
        <w:t>(Notebook 9b). This protocol repeated the full 5-fold, 5-repeat cross-validation across 10 independent seeds (42, 123, 456, 789, 1024, 2048, 3333, 5555, 7777, 9999), yielding 250 fold-level comparisons in total. The corrected in-fold preprocessing pipeline (M6) was used throughout. A leave-one-seed-out analysis was also performed to verify that no single seed disproportionately influenced the aggregate conclusion.</w:t>
      </w:r>
    </w:p>
    <w:p w14:paraId="465125B7" w14:textId="77777777" w:rsidR="001B33BC" w:rsidRDefault="00000000">
      <w:pPr>
        <w:pStyle w:val="Heading2"/>
      </w:pPr>
      <w:r>
        <w:t>M15. Evaluation Metrics and Metric-to-Stakeholder Alignment</w:t>
      </w:r>
    </w:p>
    <w:p w14:paraId="3220ABA2" w14:textId="77777777" w:rsidR="001B33BC" w:rsidRDefault="00000000">
      <w:r>
        <w:t>Five metrics were computed. The primary metric is Area Under the Precision-Recall Curve (AUC-PR), chosen because it is sensitive to minority-class performance in imbalanced settings and directly reflects the trade-off between precision and recall across threshold values (Saito and Rehmsmeier, 2015).</w:t>
      </w:r>
    </w:p>
    <w:p w14:paraId="2A652AA3" w14:textId="77777777" w:rsidR="001B33BC" w:rsidRDefault="00000000">
      <w:r>
        <w:t>The supporting metrics are Macro F1-score, Recall (sensitivity to the dropout class), Precision, and Area Under the ROC Curve (AUC-ROC). Accuracy was computed for completeness but treated as unreliable for comparative purposes given the severe class imbalance, where a naive majority-class classifier would reach roughly 93% accuracy without flagging a single at-risk pupil.</w:t>
      </w:r>
    </w:p>
    <w:p w14:paraId="06217F51" w14:textId="77777777" w:rsidR="001B33BC" w:rsidRDefault="00000000">
      <w:r>
        <w:t>In this domain, a false negative carries the heavier real-world cost. Missing a pupil who is about to drop out means that child leaves school without any intervention being triggered. A false positive, on the other hand, flags a pupil who would have stayed, prompting a review that turns out to be unnecessary but causes no harm. AUC-PR reflects this asymmetry by penalising low recall more heavily than AUC-ROC does when the positive class is rare.</w:t>
      </w:r>
    </w:p>
    <w:p w14:paraId="4E1E0092" w14:textId="77777777" w:rsidR="001B33BC" w:rsidRDefault="00000000">
      <w:r>
        <w:t>The decision threshold for binary classification was set at 0.5, the default. No threshold optimisation was performed.</w:t>
      </w:r>
    </w:p>
    <w:p w14:paraId="7008B914" w14:textId="77777777" w:rsidR="001B33BC" w:rsidRDefault="00000000">
      <w:pPr>
        <w:pStyle w:val="Heading2"/>
      </w:pPr>
      <w:r>
        <w:t>M16. Ablation and Statistical Comparison Protocol</w:t>
      </w:r>
    </w:p>
    <w:p w14:paraId="19B11E84" w14:textId="77777777" w:rsidR="001B33BC" w:rsidRDefault="00000000">
      <w:r>
        <w:t>Because the model is ENGINEERED, a three-way ablation was designed to isolate the individual contributions of the two modifications introduced in this study: the composite features (M7) and the focal-loss objective (M12). The three variants are:</w:t>
      </w:r>
    </w:p>
    <w:p w14:paraId="3AEC774F" w14:textId="77777777" w:rsidR="001B33BC" w:rsidRDefault="00000000">
      <w:r>
        <w:t>(i) Baseline LightGBM trained on raw features only, with the default cross-entropy loss. (ii) LightGBM trained on the full feature set including composite features, retaining the default cross-entropy loss. (iii) The full E-LightGBM model, combining composite features with the focal-loss objective.</w:t>
      </w:r>
    </w:p>
    <w:p w14:paraId="1CA9E4DF" w14:textId="77777777" w:rsidR="001B33BC" w:rsidRDefault="00000000">
      <w:r>
        <w:t>All hyperparameters were held constant across the three variants (M13), and all were evaluated on the same held-out test partition and under the same 25-fold cross-validation protocol. Exactly one component differs between each adjacent pair, so that any change in performance can be attributed to that specific addition.</w:t>
      </w:r>
    </w:p>
    <w:p w14:paraId="3CBE0A51" w14:textId="77777777" w:rsidR="001B33BC" w:rsidRDefault="00000000">
      <w:r>
        <w:t xml:space="preserve">A Wilcoxon signed-rank test (Wilcoxon, 1945) was applied to the paired per-fold AUC-PR scores from the baseline and E-LightGBM across the 25 folds, with significance set at a = 0.05. The test was chosen because the distribution of fold-level AUC-PR values cannot safely be assumed </w:t>
      </w:r>
      <w:r>
        <w:lastRenderedPageBreak/>
        <w:t>normal. Effect size is reported using Cohen's d (Cohen, 1988). No multiple-comparison correction was applied, as only one primary pairwise comparison (baseline versus E-LightGBM on AUC-PR) was tested for significance.</w:t>
      </w:r>
    </w:p>
    <w:p w14:paraId="619E8DF4" w14:textId="77777777" w:rsidR="001B33BC" w:rsidRDefault="00000000">
      <w:r>
        <w:t>A post-hoc power analysis was also conducted to determine the minimum detectable effect (MDE) at 80% power and α = 0.05, using the normal approximation for the paired Wilcoxon test. The MDE was computed as (z_{α/2} + z_{β}) × σ_pooled / √n, where σ_pooled is the average pooled standard deviation of AUC-PR across the 10 seeds, and n is the number of paired observations per seed (25 folds). This analysis was included to determine whether the study had sufficient statistical power to detect an effect of the size actually observed.</w:t>
      </w:r>
    </w:p>
    <w:p w14:paraId="1AB8C340" w14:textId="77777777" w:rsidR="001B33BC" w:rsidRDefault="00000000">
      <w:pPr>
        <w:pStyle w:val="Heading2"/>
      </w:pPr>
      <w:r>
        <w:t>M17. Interpretability and Explainability Protocol</w:t>
      </w:r>
    </w:p>
    <w:p w14:paraId="3D274086" w14:textId="77777777" w:rsidR="001B33BC" w:rsidRDefault="00000000">
      <w:r>
        <w:t>SHAP TreeExplainer (Lundberg and Lee, 2017), implemented via the shap Python library, was used to assess the contribution of individual features to E-LightGBM's predictions.</w:t>
      </w:r>
    </w:p>
    <w:p w14:paraId="25E31917" w14:textId="77777777" w:rsidR="001B33BC" w:rsidRDefault="00000000">
      <w:r>
        <w:t>Explanations were computed on the held-out test partition rather than on training data, to avoid inflating feature attributions with patterns the model may have memorised during training.</w:t>
      </w:r>
    </w:p>
    <w:p w14:paraId="14465AFA" w14:textId="77777777" w:rsidR="001B33BC" w:rsidRDefault="00000000">
      <w:r>
        <w:t>For the engineered component specifically, the interpretability analysis serves a verification purpose. If the three composite features (attendance_risk_index, socioeconomic_vulnerability_score, behavioral_engagement_index) rank consistently below the raw features in SHAP importance, that would indicate the engineering adds features the model largely ignores. Their ranking relative to the original predictors is reported in R6 without interpretation.</w:t>
      </w:r>
    </w:p>
    <w:p w14:paraId="6A1CF791" w14:textId="77777777" w:rsidR="001B33BC" w:rsidRDefault="00000000">
      <w:pPr>
        <w:pStyle w:val="Heading2"/>
      </w:pPr>
      <w:r>
        <w:t>M18. Generalisation and Transfer Protocol</w:t>
      </w:r>
    </w:p>
    <w:p w14:paraId="74527234" w14:textId="77777777" w:rsidR="001B33BC" w:rsidRDefault="00000000">
      <w:r>
        <w:t>The claim tier targeted is Tier 1: a bounded claim. All findings are scoped to the population from which the data were collected: basic school pupils in the Kumasi Metropolitan Assembly, Ashanti Region, Ghana, during the 2025/2026 academic year.</w:t>
      </w:r>
    </w:p>
    <w:p w14:paraId="19F430C0" w14:textId="77777777" w:rsidR="001B33BC" w:rsidRDefault="00000000">
      <w:r>
        <w:t>No external dataset was used for transfer evaluation, and no claim of generalisability or transferability to other regions, school systems, or demographic contexts is made in this study.</w:t>
      </w:r>
    </w:p>
    <w:p w14:paraId="47FEF2F7" w14:textId="77777777" w:rsidR="001B33BC" w:rsidRDefault="00000000">
      <w:r>
        <w:t>The substitute rigour applied within this bounded scope includes: (a) a stratified 80/20 holdout preserving the class distribution; (b) 5-fold stratified cross-validation repeated across 5 runs, yielding 25 fold-level results to quantify variance; and (c) a Wilcoxon signed-rank test with effect size reporting to assess whether the observed difference is statistically meaningful or could be attributable to chance.</w:t>
      </w:r>
    </w:p>
    <w:p w14:paraId="1ABBD6EF" w14:textId="77777777" w:rsidR="001B33BC" w:rsidRDefault="00000000">
      <w:r>
        <w:t>These measures do not compensate for the absence of external validation. They do, however, provide a reasonable assessment of within-context stability, which is the strongest claim a single-source design can support.</w:t>
      </w:r>
    </w:p>
    <w:p w14:paraId="33314333" w14:textId="77777777" w:rsidR="001B33BC" w:rsidRDefault="00000000">
      <w:pPr>
        <w:pStyle w:val="Heading2"/>
      </w:pPr>
      <w:r>
        <w:lastRenderedPageBreak/>
        <w:t>M19. Computational Environment and Software Stack</w:t>
      </w:r>
    </w:p>
    <w:p w14:paraId="03EBD419" w14:textId="77777777" w:rsidR="001B33BC" w:rsidRDefault="00000000">
      <w:r>
        <w:t>All experiments were conducted on Google Colab, using a Google Compute Engine backend with a Linux-based runtime. The hardware allocation was a shared CPU instance; no dedicated GPU was used for model training.</w:t>
      </w:r>
    </w:p>
    <w:p w14:paraId="09346B06" w14:textId="223D76F2" w:rsidR="001B33BC" w:rsidRDefault="00000000">
      <w:r>
        <w:t xml:space="preserve">Language: Python </w:t>
      </w:r>
      <w:r w:rsidR="007F1036" w:rsidRPr="007F1036">
        <w:t>3.13.15</w:t>
      </w:r>
      <w:r w:rsidR="007F1036">
        <w:t>.</w:t>
      </w:r>
      <w:r>
        <w:t xml:space="preserve"> Key library versions: LightGBM 4.</w:t>
      </w:r>
      <w:r w:rsidR="007F1036">
        <w:t>7</w:t>
      </w:r>
      <w:r>
        <w:t>.0, scikit-learn 1.</w:t>
      </w:r>
      <w:r w:rsidR="007F1036">
        <w:t>9</w:t>
      </w:r>
      <w:r>
        <w:t>.</w:t>
      </w:r>
      <w:r w:rsidR="007F1036">
        <w:t>0</w:t>
      </w:r>
      <w:r>
        <w:t xml:space="preserve">, </w:t>
      </w:r>
      <w:r w:rsidR="007F1036">
        <w:t>SHAP</w:t>
      </w:r>
      <w:r>
        <w:t xml:space="preserve"> </w:t>
      </w:r>
      <w:r w:rsidR="007952FD" w:rsidRPr="007952FD">
        <w:t>0.52.0</w:t>
      </w:r>
      <w:r>
        <w:t xml:space="preserve">, pandas </w:t>
      </w:r>
      <w:r w:rsidR="007952FD" w:rsidRPr="007952FD">
        <w:t>2.2.3</w:t>
      </w:r>
      <w:r>
        <w:t xml:space="preserve">, NumPy </w:t>
      </w:r>
      <w:r w:rsidR="007952FD" w:rsidRPr="007952FD">
        <w:t>2.1.3</w:t>
      </w:r>
      <w:r>
        <w:t>.</w:t>
      </w:r>
    </w:p>
    <w:p w14:paraId="3AFA718A" w14:textId="77777777" w:rsidR="001B33BC" w:rsidRDefault="00000000">
      <w:r>
        <w:t>Total wall-clock time for the full 25-fold evaluation was under 30 seconds per model, with individual fold training times averaging under one second for both the baseline and E-LightGBM.</w:t>
      </w:r>
    </w:p>
    <w:p w14:paraId="34E282FD" w14:textId="77777777" w:rsidR="001B33BC" w:rsidRDefault="00000000">
      <w:pPr>
        <w:pStyle w:val="Heading2"/>
      </w:pPr>
      <w:r>
        <w:t>M20. Methodological Defence Paragraphs</w:t>
      </w:r>
    </w:p>
    <w:p w14:paraId="70C8052A" w14:textId="77777777" w:rsidR="001B33BC" w:rsidRDefault="00000000">
      <w:r>
        <w:rPr>
          <w:b/>
        </w:rPr>
        <w:t>Parsimony defence.</w:t>
      </w:r>
      <w:r>
        <w:t xml:space="preserve"> A gradient-boosted ensemble is admittedly more complex than logistic regression or a single decision tree, and it is fair to ask whether that complexity is warranted here. The justification lies in the non-additive feature interactions present in this data. Attendance patterns interact with socioeconomic indicators in ways a linear model simply cannot represent. A pupil with moderate absence but strong family support may be at low risk, while the same absence rate combined with high socioeconomic vulnerability could signal imminent dropout. Gradient boosting captures these interactions through sequential tree construction, and LightGBM's leaf-wise growth strategy does so efficiently at this sample size.</w:t>
      </w:r>
    </w:p>
    <w:p w14:paraId="447B139E" w14:textId="518241AC" w:rsidR="001B33BC" w:rsidRDefault="00000000">
      <w:r>
        <w:rPr>
          <w:b/>
        </w:rPr>
        <w:t>Metric defence.</w:t>
      </w:r>
      <w:r>
        <w:t xml:space="preserve"> AUC-PR was selected as the primary metric because the costly error in this domain is the false negative: a dropout that goes undetected. Accuracy would obscure this cost entirely under a 7 to 10 percent positive rate, since a classifier predicting "retained" for every pupil would still score above 90 percent without identifying a single at-risk case. AUC-PR </w:t>
      </w:r>
      <w:r w:rsidR="006A7E46">
        <w:t>penalizes</w:t>
      </w:r>
      <w:r>
        <w:t xml:space="preserve"> low recall across all threshold settings and is recommended over AUC-ROC for imbalanced binary classification (Saito and Rehmsmeier, 2015).</w:t>
      </w:r>
    </w:p>
    <w:p w14:paraId="40AC7BE0" w14:textId="77777777" w:rsidR="001B33BC" w:rsidRDefault="00000000">
      <w:r>
        <w:rPr>
          <w:b/>
        </w:rPr>
        <w:t>Baseline currency defence.</w:t>
      </w:r>
      <w:r>
        <w:t xml:space="preserve"> The six baselines span three model families and include CatBoost (Prokhorenkova et al., 2018), the most recent. No fundamentally new tabular classification framework has displaced gradient boosting since CatBoost's release. The state of the art for structured, medium-scale data remains ensemble-based, and the comparison therefore reflects the current competitive landscape for this data modality.</w:t>
      </w:r>
    </w:p>
    <w:p w14:paraId="3419144C" w14:textId="77777777" w:rsidR="001B33BC" w:rsidRDefault="00000000">
      <w:r>
        <w:rPr>
          <w:b/>
        </w:rPr>
        <w:t>Inconclusive-result defence.</w:t>
      </w:r>
      <w:r>
        <w:t xml:space="preserve"> The diagnostic analysis revealed that while the direction of the difference was stable (baseline favoured in 9 of 10 seeds, with no sign flips under leave-one-seed-out), the study was underpowered to detect the observed effect size. The minimum detectable effect at 80% power was 0.0131 AUC-PR points, while the observed mean difference was 0.0018 points — an order of magnitude smaller. This means the null result cannot be interpreted as evidence of no effect; it is more accurately described as inconclusive. The distinction matters: "not significant" reflects the study's limited power at this sample size, not a definitive absence of benefit from the focal-loss intervention. Future work with a larger dataset or a more powerful evaluation design could resolve the question.</w:t>
      </w:r>
    </w:p>
    <w:p w14:paraId="412C6BDF" w14:textId="77777777" w:rsidR="001B33BC" w:rsidRDefault="00000000">
      <w:pPr>
        <w:pStyle w:val="Heading2"/>
      </w:pPr>
      <w:r>
        <w:lastRenderedPageBreak/>
        <w:t>M21. Data and Code Availability</w:t>
      </w:r>
    </w:p>
    <w:p w14:paraId="60330FB2" w14:textId="7246CF66" w:rsidR="001B33BC" w:rsidRDefault="00000000">
      <w:r>
        <w:t xml:space="preserve">The complete source code, including the training notebook, preprocessing pipeline, and evaluation scripts, is available at </w:t>
      </w:r>
      <w:r w:rsidR="00DC67D3" w:rsidRPr="00DC67D3">
        <w:t>https://github.com/KT-Devv/student-dropout-prediction-ghana.git</w:t>
      </w:r>
      <w:r w:rsidR="00DC67D3">
        <w:t>.</w:t>
      </w:r>
    </w:p>
    <w:p w14:paraId="21EDF6A8" w14:textId="77777777" w:rsidR="001B33BC" w:rsidRDefault="00000000">
      <w:r>
        <w:t>The raw institutional dataset cannot be shared publicly due to the ethical restrictions described in M5. A synthetic mock dataset replicating the schema, along with the trained E-LightGBM model weights, are provided in the repository for reproducibility purposes. Access to the primary field data may be requested from the corresponding author, subject to institutional ethics approval and a data use agreement.</w:t>
      </w:r>
    </w:p>
    <w:p w14:paraId="411C6073" w14:textId="40542502" w:rsidR="001B33BC" w:rsidRDefault="00000000">
      <w:r>
        <w:t xml:space="preserve">The archived version identifier corresponding to the results reported in this study is </w:t>
      </w:r>
      <w:r w:rsidR="008A681A" w:rsidRPr="008A681A">
        <w:t>https://doi.org/10.5281/zenodo.22663878</w:t>
      </w:r>
    </w:p>
    <w:p w14:paraId="78ACF850" w14:textId="77777777" w:rsidR="001B33BC" w:rsidRDefault="00000000">
      <w:pPr>
        <w:pStyle w:val="Heading2"/>
      </w:pPr>
      <w:r>
        <w:t>References Cited in Methods</w:t>
      </w:r>
    </w:p>
    <w:p w14:paraId="1EBEFB6B" w14:textId="77777777" w:rsidR="001B33BC" w:rsidRDefault="00000000">
      <w:r>
        <w:t>- Chawla, N. V., Bowyer, K. W., Hall, L. O., and Kegelmeyer, W. P. (2002). SMOTE: Synthetic minority over-sampling technique. Journal of Artificial Intelligence Research, 16, 321-357. - Chen, T., and Guestrin, C. (2016). XGBoost: A scalable tree boosting system. Proceedings of the 22nd ACM SIGKDD International Conference on Knowledge Discovery and Data Mining, 785-794. - Cohen, J. (1988). Statistical power analysis for the behavioral sciences (2nd ed.). Lawrence Erlbaum Associates. - Ke, G., Meng, Q., Finley, T., Wang, T., Chen, W., Ma, W., Ye, Q., and Liu, T.-Y. (2017). LightGBM: A highly efficient gradient boosting decision tree. Advances in Neural Information Processing Systems, 30. - Lin, T.-Y., Goyal, P., Girshick, R., He, K., and Dollar, P. (2017). Focal loss for dense object detection. Proceedings of the IEEE International Conference on Computer Vision, 2980-2988. - Lundberg, S. M., and Lee, S.-I. (2017). A unified approach to interpreting model predictions. Advances in Neural Information Processing Systems, 30. - Prokhorenkova, L., Gusev, G., Vorobev, A., Dorogush, A. V., and Gulin, A. (2018). CatBoost: Unbiased boosting with categorical features. Advances in Neural Information Processing Systems, 31. - Saito, T., and Rehmsmeier, M. (2015). The precision-recall plot is more informative than the ROC plot when evaluating binary classifiers on imbalanced datasets. PLOS ONE, 10(3), e0118432. - Wilcoxon, F. (1945). Individual comparisons by ranking methods. Biometrics Bulletin, 1(6), 80-83. - Xu, L., Skoularidou, M., Cuesta-Infante, A., and Veeramachaneni, K. (2019). Modeling tabular data using conditional GAN. Advances in Neural Information Processing Systems, 32.</w:t>
      </w:r>
    </w:p>
    <w:sectPr w:rsidR="001B33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7507304">
    <w:abstractNumId w:val="8"/>
  </w:num>
  <w:num w:numId="2" w16cid:durableId="363790355">
    <w:abstractNumId w:val="6"/>
  </w:num>
  <w:num w:numId="3" w16cid:durableId="623653260">
    <w:abstractNumId w:val="5"/>
  </w:num>
  <w:num w:numId="4" w16cid:durableId="996151708">
    <w:abstractNumId w:val="4"/>
  </w:num>
  <w:num w:numId="5" w16cid:durableId="1842892819">
    <w:abstractNumId w:val="7"/>
  </w:num>
  <w:num w:numId="6" w16cid:durableId="628971471">
    <w:abstractNumId w:val="3"/>
  </w:num>
  <w:num w:numId="7" w16cid:durableId="1957328751">
    <w:abstractNumId w:val="2"/>
  </w:num>
  <w:num w:numId="8" w16cid:durableId="1761221954">
    <w:abstractNumId w:val="1"/>
  </w:num>
  <w:num w:numId="9" w16cid:durableId="1275675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3BC"/>
    <w:rsid w:val="00264276"/>
    <w:rsid w:val="0029639D"/>
    <w:rsid w:val="00326F90"/>
    <w:rsid w:val="004072AE"/>
    <w:rsid w:val="004F70DE"/>
    <w:rsid w:val="005E68D3"/>
    <w:rsid w:val="006A7E46"/>
    <w:rsid w:val="007952FD"/>
    <w:rsid w:val="007F1036"/>
    <w:rsid w:val="007F4D66"/>
    <w:rsid w:val="008A681A"/>
    <w:rsid w:val="0091296C"/>
    <w:rsid w:val="00A7613F"/>
    <w:rsid w:val="00AA1D8D"/>
    <w:rsid w:val="00B47730"/>
    <w:rsid w:val="00CB0664"/>
    <w:rsid w:val="00CE4400"/>
    <w:rsid w:val="00DC67D3"/>
    <w:rsid w:val="00FC693F"/>
    <w:rsid w:val="00FD7F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CEC69"/>
  <w14:defaultImageDpi w14:val="300"/>
  <w15:docId w15:val="{EA18D99B-63EB-437A-A327-EADDCED2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007F1036"/>
    <w:rPr>
      <w:color w:val="0563C1"/>
      <w:u w:val="single"/>
    </w:rPr>
  </w:style>
  <w:style w:type="character" w:styleId="UnresolvedMention">
    <w:name w:val="Unresolved Mention"/>
    <w:basedOn w:val="DefaultParagraphFont"/>
    <w:uiPriority w:val="99"/>
    <w:semiHidden/>
    <w:unhideWhenUsed/>
    <w:rsid w:val="007F10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13</Pages>
  <Words>4919</Words>
  <Characters>28043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Oheneba Ntim</cp:lastModifiedBy>
  <cp:revision>12</cp:revision>
  <dcterms:created xsi:type="dcterms:W3CDTF">2013-12-23T23:15:00Z</dcterms:created>
  <dcterms:modified xsi:type="dcterms:W3CDTF">2026-09-14T22:12:00Z</dcterms:modified>
  <cp:category/>
</cp:coreProperties>
</file>