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260"/>
              <w:left w:type="dxa" w:w="360"/>
              <w:bottom w:type="dxa" w:w="260"/>
              <w:right w:type="dxa" w:w="360"/>
            </w:tcMar>
          </w:tcPr>
          <w:p>
            <w:pPr>
              <w:spacing w:after="60" w:before="0"/>
            </w:pPr>
            <w:r>
              <w:rPr>
                <w:rFonts w:ascii="Arial" w:cs="Arial" w:eastAsia="Arial" w:hAnsi="Arial"/>
                <w:b/>
                <w:bCs/>
                <w:color w:val="C8922A"/>
                <w:sz w:val="44"/>
                <w:szCs w:val="44"/>
              </w:rPr>
              <w:t xml:space="preserve">THE THIRD TRACK</w:t>
            </w:r>
          </w:p>
          <w:p>
            <w:pPr>
              <w:spacing w:after="80" w:before="0"/>
            </w:pPr>
            <w:r>
              <w:rPr>
                <w:rFonts w:ascii="Arial" w:cs="Arial" w:eastAsia="Arial" w:hAnsi="Arial"/>
                <w:color w:val="C5D9F1"/>
                <w:sz w:val="23"/>
                <w:szCs w:val="23"/>
              </w:rPr>
              <w:t xml:space="preserve">How Cohort-Based Apprenticeship Is Redefining the Path to Economic Opportunity</w:t>
            </w:r>
          </w:p>
          <w:p>
            <w:pPr>
              <w:spacing w:after="0" w:before="40"/>
            </w:pPr>
            <w:r>
              <w:rPr>
                <w:rFonts w:ascii="Arial" w:cs="Arial" w:eastAsia="Arial" w:hAnsi="Arial"/>
                <w:b/>
                <w:bCs/>
                <w:color w:val="C8922A"/>
                <w:sz w:val="17"/>
                <w:szCs w:val="17"/>
              </w:rPr>
              <w:t xml:space="preserve">The Opportunity-First Framework  |  </w:t>
            </w:r>
            <w:r>
              <w:rPr>
                <w:rFonts w:ascii="Arial" w:cs="Arial" w:eastAsia="Arial" w:hAnsi="Arial"/>
                <w:color w:val="A0B8CC"/>
                <w:sz w:val="17"/>
                <w:szCs w:val="17"/>
              </w:rPr>
              <w:t xml:space="preserve">Knowledge Transfer Consulting Services (KTCS)  |  knowledgetransferinc.com</w:t>
            </w:r>
          </w:p>
        </w:tc>
      </w:tr>
    </w:tbl>
    <w:p>
      <w:pPr>
        <w:spacing w:after="0" w:before="180"/>
      </w:pPr>
    </w:p>
    <w:p>
      <w:pPr>
        <w:spacing w:after="80" w:before="200"/>
      </w:pPr>
      <w:r>
        <w:rPr>
          <w:rFonts w:ascii="Arial" w:cs="Arial" w:eastAsia="Arial" w:hAnsi="Arial"/>
          <w:b/>
          <w:bCs/>
          <w:color w:val="C8922A"/>
          <w:sz w:val="19"/>
          <w:szCs w:val="19"/>
        </w:rPr>
        <w:t xml:space="preserve">THE PROBLEM WITH ONE TRACK</w:t>
      </w:r>
    </w:p>
    <w:p>
      <w:pPr>
        <w:pBdr>
          <w:bottom w:val="single" w:color="C8922A" w:sz="6" w:space="1"/>
        </w:pBdr>
        <w:spacing w:after="140" w:before="0"/>
      </w:pPr>
    </w:p>
    <w:p>
      <w:pPr>
        <w:spacing w:after="50" w:before="40"/>
      </w:pPr>
      <w:r>
        <w:rPr>
          <w:rFonts w:ascii="Arial" w:cs="Arial" w:eastAsia="Arial" w:hAnsi="Arial"/>
          <w:color w:val="444444"/>
          <w:sz w:val="19"/>
          <w:szCs w:val="19"/>
        </w:rPr>
        <w:t xml:space="preserve">America has built a single validated path to economic opportunity: High School → Postsecondary Degree → Career. Every pathway that does not end in a four-year diploma carries an unofficial label — alternative, vocational, career and technical — and that label carries a cost that falls entirely on the individual, not the system that created it.</w:t>
      </w:r>
    </w:p>
    <w:p>
      <w:pPr>
        <w:spacing w:after="0" w:before="50"/>
      </w:pPr>
    </w:p>
    <w:p>
      <w:pPr>
        <w:spacing w:after="50" w:before="40"/>
      </w:pPr>
      <w:r>
        <w:rPr>
          <w:rFonts w:ascii="Arial" w:cs="Arial" w:eastAsia="Arial" w:hAnsi="Arial"/>
          <w:color w:val="444444"/>
          <w:sz w:val="19"/>
          <w:szCs w:val="19"/>
        </w:rPr>
        <w:t xml:space="preserve">Fortune 500 HR systems filter talent by credential, not capability. An individual who completed two years of college, a veteran who led a technical team in the field, a motivated adult with a high school diploma and exceptional aptitude — all are screened out before a hiring manager ever evaluates what they can actually do. The credential requirement has become a substitute for judgment, not a measure of quality.</w:t>
      </w:r>
    </w:p>
    <w:p>
      <w:pPr>
        <w:spacing w:after="0" w:before="50"/>
      </w:pPr>
    </w:p>
    <w:p>
      <w:pPr>
        <w:spacing w:after="50" w:before="40"/>
      </w:pPr>
      <w:r>
        <w:rPr>
          <w:rFonts w:ascii="Arial" w:cs="Arial" w:eastAsia="Arial" w:hAnsi="Arial"/>
          <w:color w:val="444444"/>
          <w:sz w:val="19"/>
          <w:szCs w:val="19"/>
        </w:rPr>
        <w:t xml:space="preserve">The result is a workforce paradox: employers report critical talent shortages while a vast pool of capable Americans remains invisible to the hiring process. The Third Track is KTCS's answer to that paradox — and it has worked six times.</w:t>
      </w:r>
    </w:p>
    <w:p>
      <w:pPr>
        <w:spacing w:after="0" w:before="140"/>
      </w:pPr>
    </w:p>
    <w:p>
      <w:pPr>
        <w:spacing w:after="80" w:before="200"/>
      </w:pPr>
      <w:r>
        <w:rPr>
          <w:rFonts w:ascii="Arial" w:cs="Arial" w:eastAsia="Arial" w:hAnsi="Arial"/>
          <w:b/>
          <w:bCs/>
          <w:color w:val="C8922A"/>
          <w:sz w:val="19"/>
          <w:szCs w:val="19"/>
        </w:rPr>
        <w:t xml:space="preserve">THE POPULATION THE CURRENT SYSTEM FAILS</w:t>
      </w:r>
    </w:p>
    <w:p>
      <w:pPr>
        <w:pBdr>
          <w:bottom w:val="single" w:color="C8922A" w:sz="6" w:space="1"/>
        </w:pBdr>
        <w:spacing w:after="140" w:before="0"/>
      </w:pPr>
    </w:p>
    <w:p>
      <w:pPr>
        <w:spacing w:after="80" w:before="0"/>
      </w:pPr>
      <w:r>
        <w:rPr>
          <w:rFonts w:ascii="Arial" w:cs="Arial" w:eastAsia="Arial" w:hAnsi="Arial"/>
          <w:color w:val="444444"/>
          <w:sz w:val="19"/>
          <w:szCs w:val="19"/>
        </w:rPr>
        <w:t xml:space="preserve">KTCS defines its candidate population by one criterion: individuals without a completed four-year college degree. This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0"/>
        <w:gridCol w:w="120"/>
        <w:gridCol w:w="3020"/>
        <w:gridCol w:w="120"/>
        <w:gridCol w:w="3080"/>
      </w:tblGrid>
      <w:tr>
        <w:tc>
          <w:tcPr>
            <w:tcW w:type="dxa" w:w="3020"/>
            <w:tcBorders>
              <w:top w:val="nil" w:color="FFFFFF" w:sz="0"/>
              <w:left w:val="nil" w:color="FFFFFF" w:sz="0"/>
              <w:bottom w:val="nil" w:color="FFFFFF" w:sz="0"/>
              <w:right w:val="nil" w:color="FFFFFF" w:sz="0"/>
            </w:tcBorders>
            <w:shd w:fill="EBF3FA" w:val="clear"/>
            <w:tcMar>
              <w:top w:type="dxa" w:w="140"/>
              <w:left w:type="dxa" w:w="160"/>
              <w:bottom w:type="dxa" w:w="140"/>
              <w:right w:type="dxa" w:w="160"/>
            </w:tcMar>
          </w:tcPr>
          <w:p>
            <w:pPr>
              <w:spacing w:after="50" w:before="0"/>
            </w:pPr>
            <w:r>
              <w:rPr>
                <w:rFonts w:ascii="Arial" w:cs="Arial" w:eastAsia="Arial" w:hAnsi="Arial"/>
                <w:b/>
                <w:bCs/>
                <w:color w:val="1F3864"/>
                <w:sz w:val="19"/>
                <w:szCs w:val="19"/>
              </w:rPr>
              <w:t xml:space="preserve">High School Diploma Only</w:t>
            </w:r>
          </w:p>
          <w:p>
            <w:pPr>
              <w:spacing w:after="0" w:before="0"/>
            </w:pPr>
            <w:r>
              <w:rPr>
                <w:rFonts w:ascii="Arial" w:cs="Arial" w:eastAsia="Arial" w:hAnsi="Arial"/>
                <w:color w:val="444444"/>
                <w:sz w:val="17"/>
                <w:szCs w:val="17"/>
              </w:rPr>
              <w:t xml:space="preserve">No college. Screened out by credential requirements before a hiring manager ever sees their capability.</w:t>
            </w:r>
          </w:p>
        </w:tc>
        <w:tc>
          <w:tcPr>
            <w:tcW w:type="dxa" w:w="12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tc>
        <w:tc>
          <w:tcPr>
            <w:tcW w:type="dxa" w:w="3020"/>
            <w:tcBorders>
              <w:top w:val="nil" w:color="FFFFFF" w:sz="0"/>
              <w:left w:val="nil" w:color="FFFFFF" w:sz="0"/>
              <w:bottom w:val="nil" w:color="FFFFFF" w:sz="0"/>
              <w:right w:val="nil" w:color="FFFFFF" w:sz="0"/>
            </w:tcBorders>
            <w:shd w:fill="EBF3FA" w:val="clear"/>
            <w:tcMar>
              <w:top w:type="dxa" w:w="140"/>
              <w:left w:type="dxa" w:w="160"/>
              <w:bottom w:type="dxa" w:w="140"/>
              <w:right w:type="dxa" w:w="160"/>
            </w:tcMar>
          </w:tcPr>
          <w:p>
            <w:pPr>
              <w:spacing w:after="50" w:before="0"/>
            </w:pPr>
            <w:r>
              <w:rPr>
                <w:rFonts w:ascii="Arial" w:cs="Arial" w:eastAsia="Arial" w:hAnsi="Arial"/>
                <w:b/>
                <w:bCs/>
                <w:color w:val="1F3864"/>
                <w:sz w:val="19"/>
                <w:szCs w:val="19"/>
              </w:rPr>
              <w:t xml:space="preserve">Some College, No Degree</w:t>
            </w:r>
          </w:p>
          <w:p>
            <w:pPr>
              <w:spacing w:after="0" w:before="0"/>
            </w:pPr>
            <w:r>
              <w:rPr>
                <w:rFonts w:ascii="Arial" w:cs="Arial" w:eastAsia="Arial" w:hAnsi="Arial"/>
                <w:color w:val="444444"/>
                <w:sz w:val="17"/>
                <w:szCs w:val="17"/>
              </w:rPr>
              <w:t xml:space="preserve">Attended postsecondary education but did not complete. Filtered out by the same binary system that only recognizes finished credentials.</w:t>
            </w:r>
          </w:p>
        </w:tc>
        <w:tc>
          <w:tcPr>
            <w:tcW w:type="dxa" w:w="120"/>
            <w:tcBorders>
              <w:top w:val="nil" w:color="FFFFFF" w:sz="0"/>
              <w:left w:val="nil" w:color="FFFFFF" w:sz="0"/>
              <w:bottom w:val="nil" w:color="FFFFFF" w:sz="0"/>
              <w:right w:val="nil" w:color="FFFFFF" w:sz="0"/>
            </w:tcBorders>
            <w:shd w:fill="FFFFFF" w:val="clear"/>
            <w:tcMar>
              <w:top w:type="dxa" w:w="0"/>
              <w:left w:type="dxa" w:w="0"/>
              <w:bottom w:type="dxa" w:w="0"/>
              <w:right w:type="dxa" w:w="0"/>
            </w:tcMar>
          </w:tcPr>
          <w:p/>
        </w:tc>
        <w:tc>
          <w:tcPr>
            <w:tcW w:type="dxa" w:w="3080"/>
            <w:tcBorders>
              <w:top w:val="nil" w:color="FFFFFF" w:sz="0"/>
              <w:left w:val="nil" w:color="FFFFFF" w:sz="0"/>
              <w:bottom w:val="nil" w:color="FFFFFF" w:sz="0"/>
              <w:right w:val="nil" w:color="FFFFFF" w:sz="0"/>
            </w:tcBorders>
            <w:shd w:fill="EBF3FA" w:val="clear"/>
            <w:tcMar>
              <w:top w:type="dxa" w:w="140"/>
              <w:left w:type="dxa" w:w="160"/>
              <w:bottom w:type="dxa" w:w="140"/>
              <w:right w:type="dxa" w:w="160"/>
            </w:tcMar>
          </w:tcPr>
          <w:p>
            <w:pPr>
              <w:spacing w:after="50" w:before="0"/>
            </w:pPr>
            <w:r>
              <w:rPr>
                <w:rFonts w:ascii="Arial" w:cs="Arial" w:eastAsia="Arial" w:hAnsi="Arial"/>
                <w:b/>
                <w:bCs/>
                <w:color w:val="1F3864"/>
                <w:sz w:val="19"/>
                <w:szCs w:val="19"/>
              </w:rPr>
              <w:t xml:space="preserve">Military Service, No Degree</w:t>
            </w:r>
          </w:p>
          <w:p>
            <w:pPr>
              <w:spacing w:after="0" w:before="0"/>
            </w:pPr>
            <w:r>
              <w:rPr>
                <w:rFonts w:ascii="Arial" w:cs="Arial" w:eastAsia="Arial" w:hAnsi="Arial"/>
                <w:color w:val="444444"/>
                <w:sz w:val="17"/>
                <w:szCs w:val="17"/>
              </w:rPr>
              <w:t xml:space="preserve">Credentialed by service. Brings leadership, discipline, and technical expertise that the traditional hiring track cannot recognize or value.</w:t>
            </w:r>
          </w:p>
        </w:tc>
      </w:tr>
    </w:tbl>
    <w:p>
      <w:pPr>
        <w:spacing w:after="0" w:before="140"/>
      </w:pPr>
    </w:p>
    <w:p>
      <w:pPr>
        <w:spacing w:after="80" w:before="200"/>
      </w:pPr>
      <w:r>
        <w:rPr>
          <w:rFonts w:ascii="Arial" w:cs="Arial" w:eastAsia="Arial" w:hAnsi="Arial"/>
          <w:b/>
          <w:bCs/>
          <w:color w:val="C8922A"/>
          <w:sz w:val="19"/>
          <w:szCs w:val="19"/>
        </w:rPr>
        <w:t xml:space="preserve">THE OPPORTUNITY-FIRST FRAMEWORK</w:t>
      </w:r>
    </w:p>
    <w:p>
      <w:pPr>
        <w:pBdr>
          <w:bottom w:val="single" w:color="C8922A" w:sz="6" w:space="1"/>
        </w:pBdr>
        <w:spacing w:after="140" w:before="0"/>
      </w:pPr>
    </w:p>
    <w:p>
      <w:pPr>
        <w:spacing w:after="50" w:before="40"/>
      </w:pPr>
      <w:r>
        <w:rPr>
          <w:rFonts w:ascii="Arial" w:cs="Arial" w:eastAsia="Arial" w:hAnsi="Arial"/>
          <w:color w:val="444444"/>
          <w:sz w:val="19"/>
          <w:szCs w:val="19"/>
        </w:rPr>
        <w:t xml:space="preserve">Rather than requiring credentials before opportunity, KTCS identifies the employer opportunity first and designs the learning pathway backward from it. Three principles govern every program:</w:t>
      </w:r>
    </w:p>
    <w:p>
      <w:pPr>
        <w:spacing w:after="0" w:before="50"/>
      </w:pPr>
    </w:p>
    <w:p>
      <w:pPr>
        <w:pStyle w:val="ListParagraph"/>
        <w:numPr>
          <w:ilvl w:val="0"/>
          <w:numId w:val="2"/>
        </w:numPr>
        <w:spacing w:after="40" w:before="40"/>
      </w:pPr>
      <w:r>
        <w:rPr>
          <w:rFonts w:ascii="Arial" w:cs="Arial" w:eastAsia="Arial" w:hAnsi="Arial"/>
          <w:b/>
          <w:bCs/>
          <w:color w:val="1F3864"/>
          <w:sz w:val="19"/>
          <w:szCs w:val="19"/>
        </w:rPr>
        <w:t xml:space="preserve">Skills and people first. </w:t>
      </w:r>
      <w:r>
        <w:rPr>
          <w:rFonts w:ascii="Arial" w:cs="Arial" w:eastAsia="Arial" w:hAnsi="Arial"/>
          <w:color w:val="444444"/>
          <w:sz w:val="19"/>
          <w:szCs w:val="19"/>
        </w:rPr>
        <w:t xml:space="preserve">A 14 to 24-week cohort experience develops targeted technical skills alongside the professional and interpersonal skills employers need on day one. Candidates learn alongside peers, taught by credentialed practitioner instructors — not generalists.</w:t>
      </w:r>
    </w:p>
    <w:p>
      <w:pPr>
        <w:pStyle w:val="ListParagraph"/>
        <w:numPr>
          <w:ilvl w:val="0"/>
          <w:numId w:val="2"/>
        </w:numPr>
        <w:spacing w:after="40" w:before="40"/>
      </w:pPr>
      <w:r>
        <w:rPr>
          <w:rFonts w:ascii="Arial" w:cs="Arial" w:eastAsia="Arial" w:hAnsi="Arial"/>
          <w:b/>
          <w:bCs/>
          <w:color w:val="1F3864"/>
          <w:sz w:val="19"/>
          <w:szCs w:val="19"/>
        </w:rPr>
        <w:t xml:space="preserve">Employer alignment at the design stage. </w:t>
      </w:r>
      <w:r>
        <w:rPr>
          <w:rFonts w:ascii="Arial" w:cs="Arial" w:eastAsia="Arial" w:hAnsi="Arial"/>
          <w:color w:val="444444"/>
          <w:sz w:val="19"/>
          <w:szCs w:val="19"/>
        </w:rPr>
        <w:t xml:space="preserve">Every program is built in direct partnership with the hiring employer. Curriculum maps to the role, the team environment, and the performance standards of the organization — closing the gap between training and job requirements that traditional education routinely leaves open.</w:t>
      </w:r>
    </w:p>
    <w:p>
      <w:pPr>
        <w:pStyle w:val="ListParagraph"/>
        <w:numPr>
          <w:ilvl w:val="0"/>
          <w:numId w:val="2"/>
        </w:numPr>
        <w:spacing w:after="40" w:before="40"/>
      </w:pPr>
      <w:r>
        <w:rPr>
          <w:rFonts w:ascii="Arial" w:cs="Arial" w:eastAsia="Arial" w:hAnsi="Arial"/>
          <w:b/>
          <w:bCs/>
          <w:color w:val="1F3864"/>
          <w:sz w:val="19"/>
          <w:szCs w:val="19"/>
        </w:rPr>
        <w:t xml:space="preserve">Continuous learning as the growth engine. </w:t>
      </w:r>
      <w:r>
        <w:rPr>
          <w:rFonts w:ascii="Arial" w:cs="Arial" w:eastAsia="Arial" w:hAnsi="Arial"/>
          <w:color w:val="444444"/>
          <w:sz w:val="19"/>
          <w:szCs w:val="19"/>
        </w:rPr>
        <w:t xml:space="preserve">College-level education follows the apprenticeship — not precedes it. Apprentices build real-world context for academic content, earn while they learn, and grow on a foundation of demonstrated performance rather than accumulated debt.</w:t>
      </w:r>
    </w:p>
    <w:p>
      <w:pPr>
        <w:spacing w:after="0" w:before="140"/>
      </w:pPr>
    </w:p>
    <w:p>
      <w:pPr>
        <w:spacing w:after="80" w:before="200"/>
      </w:pPr>
      <w:r>
        <w:rPr>
          <w:rFonts w:ascii="Arial" w:cs="Arial" w:eastAsia="Arial" w:hAnsi="Arial"/>
          <w:b/>
          <w:bCs/>
          <w:color w:val="C8922A"/>
          <w:sz w:val="19"/>
          <w:szCs w:val="19"/>
        </w:rPr>
        <w:t xml:space="preserve">PROVEN AT SCALE — SIX PROGRAMS, ONE FRAMEWORK</w:t>
      </w:r>
    </w:p>
    <w:p>
      <w:pPr>
        <w:pBdr>
          <w:bottom w:val="single" w:color="C8922A" w:sz="6" w:space="1"/>
        </w:pBd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single" w:color="3A5A8A" w:sz="4"/>
            </w:tcBorders>
            <w:shd w:fill="1F3864" w:val="clear"/>
            <w:tcMar>
              <w:top w:type="dxa" w:w="140"/>
              <w:left w:type="dxa" w:w="160"/>
              <w:bottom w:type="dxa" w:w="140"/>
              <w:right w:type="dxa" w:w="160"/>
            </w:tcMar>
            <w:vAlign w:val="center"/>
          </w:tcPr>
          <w:p>
            <w:pPr>
              <w:jc w:val="center"/>
            </w:pPr>
            <w:r>
              <w:rPr>
                <w:rFonts w:ascii="Arial" w:cs="Arial" w:eastAsia="Arial" w:hAnsi="Arial"/>
                <w:b/>
                <w:bCs/>
                <w:color w:val="C8922A"/>
                <w:sz w:val="38"/>
                <w:szCs w:val="38"/>
              </w:rPr>
              <w:t xml:space="preserve">6</w:t>
            </w:r>
          </w:p>
          <w:p>
            <w:pPr>
              <w:spacing w:before="30"/>
              <w:jc w:val="center"/>
            </w:pPr>
            <w:r>
              <w:rPr>
                <w:rFonts w:ascii="Arial" w:cs="Arial" w:eastAsia="Arial" w:hAnsi="Arial"/>
                <w:color w:val="C5D9F1"/>
                <w:sz w:val="15"/>
                <w:szCs w:val="15"/>
              </w:rPr>
              <w:t xml:space="preserve">DOL Programs Delivered</w:t>
            </w:r>
          </w:p>
        </w:tc>
        <w:tc>
          <w:tcPr>
            <w:tcW w:type="dxa" w:w="2340"/>
            <w:tcBorders>
              <w:top w:val="nil" w:color="FFFFFF" w:sz="0"/>
              <w:left w:val="nil" w:color="FFFFFF" w:sz="0"/>
              <w:bottom w:val="nil" w:color="FFFFFF" w:sz="0"/>
              <w:right w:val="single" w:color="3A5A8A" w:sz="4"/>
            </w:tcBorders>
            <w:shd w:fill="1F3864" w:val="clear"/>
            <w:tcMar>
              <w:top w:type="dxa" w:w="140"/>
              <w:left w:type="dxa" w:w="160"/>
              <w:bottom w:type="dxa" w:w="140"/>
              <w:right w:type="dxa" w:w="160"/>
            </w:tcMar>
            <w:vAlign w:val="center"/>
          </w:tcPr>
          <w:p>
            <w:pPr>
              <w:jc w:val="center"/>
            </w:pPr>
            <w:r>
              <w:rPr>
                <w:rFonts w:ascii="Arial" w:cs="Arial" w:eastAsia="Arial" w:hAnsi="Arial"/>
                <w:b/>
                <w:bCs/>
                <w:color w:val="C8922A"/>
                <w:sz w:val="38"/>
                <w:szCs w:val="38"/>
              </w:rPr>
              <w:t xml:space="preserve">96%</w:t>
            </w:r>
          </w:p>
          <w:p>
            <w:pPr>
              <w:spacing w:before="30"/>
              <w:jc w:val="center"/>
            </w:pPr>
            <w:r>
              <w:rPr>
                <w:rFonts w:ascii="Arial" w:cs="Arial" w:eastAsia="Arial" w:hAnsi="Arial"/>
                <w:color w:val="C5D9F1"/>
                <w:sz w:val="15"/>
                <w:szCs w:val="15"/>
              </w:rPr>
              <w:t xml:space="preserve">Avg. Employment Conversion</w:t>
            </w:r>
          </w:p>
        </w:tc>
        <w:tc>
          <w:tcPr>
            <w:tcW w:type="dxa" w:w="2340"/>
            <w:tcBorders>
              <w:top w:val="nil" w:color="FFFFFF" w:sz="0"/>
              <w:left w:val="nil" w:color="FFFFFF" w:sz="0"/>
              <w:bottom w:val="nil" w:color="FFFFFF" w:sz="0"/>
              <w:right w:val="single" w:color="3A5A8A" w:sz="4"/>
            </w:tcBorders>
            <w:shd w:fill="1F3864" w:val="clear"/>
            <w:tcMar>
              <w:top w:type="dxa" w:w="140"/>
              <w:left w:type="dxa" w:w="160"/>
              <w:bottom w:type="dxa" w:w="140"/>
              <w:right w:type="dxa" w:w="160"/>
            </w:tcMar>
            <w:vAlign w:val="center"/>
          </w:tcPr>
          <w:p>
            <w:pPr>
              <w:jc w:val="center"/>
            </w:pPr>
            <w:r>
              <w:rPr>
                <w:rFonts w:ascii="Arial" w:cs="Arial" w:eastAsia="Arial" w:hAnsi="Arial"/>
                <w:b/>
                <w:bCs/>
                <w:color w:val="C8922A"/>
                <w:sz w:val="38"/>
                <w:szCs w:val="38"/>
              </w:rPr>
              <w:t xml:space="preserve">14–24 Wks</w:t>
            </w:r>
          </w:p>
          <w:p>
            <w:pPr>
              <w:spacing w:before="30"/>
              <w:jc w:val="center"/>
            </w:pPr>
            <w:r>
              <w:rPr>
                <w:rFonts w:ascii="Arial" w:cs="Arial" w:eastAsia="Arial" w:hAnsi="Arial"/>
                <w:color w:val="C5D9F1"/>
                <w:sz w:val="15"/>
                <w:szCs w:val="15"/>
              </w:rPr>
              <w:t xml:space="preserve">Enrollment to Apprenticeship</w:t>
            </w:r>
          </w:p>
        </w:tc>
        <w:tc>
          <w:tcPr>
            <w:tcW w:type="dxa" w:w="2340"/>
            <w:tcBorders>
              <w:top w:val="nil" w:color="FFFFFF" w:sz="0"/>
              <w:left w:val="nil" w:color="FFFFFF" w:sz="0"/>
              <w:bottom w:val="nil" w:color="FFFFFF" w:sz="0"/>
              <w:right w:val="nil" w:color="FFFFFF" w:sz="0"/>
            </w:tcBorders>
            <w:shd w:fill="1F3864" w:val="clear"/>
            <w:tcMar>
              <w:top w:type="dxa" w:w="140"/>
              <w:left w:type="dxa" w:w="160"/>
              <w:bottom w:type="dxa" w:w="140"/>
              <w:right w:type="dxa" w:w="160"/>
            </w:tcMar>
            <w:vAlign w:val="center"/>
          </w:tcPr>
          <w:p>
            <w:pPr>
              <w:jc w:val="center"/>
            </w:pPr>
            <w:r>
              <w:rPr>
                <w:rFonts w:ascii="Arial" w:cs="Arial" w:eastAsia="Arial" w:hAnsi="Arial"/>
                <w:b/>
                <w:bCs/>
                <w:color w:val="C8922A"/>
                <w:sz w:val="38"/>
                <w:szCs w:val="38"/>
              </w:rPr>
              <w:t xml:space="preserve">$40–60K</w:t>
            </w:r>
          </w:p>
          <w:p>
            <w:pPr>
              <w:spacing w:before="30"/>
              <w:jc w:val="center"/>
            </w:pPr>
            <w:r>
              <w:rPr>
                <w:rFonts w:ascii="Arial" w:cs="Arial" w:eastAsia="Arial" w:hAnsi="Arial"/>
                <w:color w:val="C5D9F1"/>
                <w:sz w:val="15"/>
                <w:szCs w:val="15"/>
              </w:rPr>
              <w:t xml:space="preserve">Starting Apprenticeship Compensation</w:t>
            </w:r>
          </w:p>
        </w:tc>
      </w:tr>
    </w:tbl>
    <w:p>
      <w:pPr>
        <w:spacing w:after="0" w:before="80"/>
      </w:pPr>
    </w:p>
    <w:p>
      <w:pPr>
        <w:spacing w:after="50" w:before="40"/>
      </w:pPr>
      <w:r>
        <w:rPr>
          <w:rFonts w:ascii="Arial" w:cs="Arial" w:eastAsia="Arial" w:hAnsi="Arial"/>
          <w:color w:val="444444"/>
          <w:sz w:val="19"/>
          <w:szCs w:val="19"/>
        </w:rPr>
        <w:t xml:space="preserve">Across six U.S. Department of Labor Pre-Apprenticeship programs — COBOL Mainframe, UX/UI Design, IT Security, Agile/Project Management, Full Stack Development, and AI for Professionals — KTCS has placed candidates without four-year degrees with Fortune-ranked employers at a 96% average post-program employment conversion rate. Four of six cohorts achieved 100% conversion. Our current active program is a U.S. DOL Demonstration Grant.</w:t>
      </w:r>
    </w:p>
    <w:p>
      <w:pPr>
        <w:spacing w:after="0" w:before="140"/>
      </w:pPr>
    </w:p>
    <w:p>
      <w:r>
        <w:br/>
      </w:r>
    </w:p>
    <w:p>
      <w:pPr>
        <w:spacing w:after="80" w:before="200"/>
      </w:pPr>
      <w:r>
        <w:rPr>
          <w:rFonts w:ascii="Arial" w:cs="Arial" w:eastAsia="Arial" w:hAnsi="Arial"/>
          <w:b/>
          <w:bCs/>
          <w:color w:val="C8922A"/>
          <w:sz w:val="19"/>
          <w:szCs w:val="19"/>
        </w:rPr>
        <w:t xml:space="preserve">REFRAMING THE NARRATIVE — THIS IS NOT ALTERNATIVE</w:t>
      </w:r>
    </w:p>
    <w:p>
      <w:pPr>
        <w:pBdr>
          <w:bottom w:val="single" w:color="C8922A" w:sz="6" w:space="1"/>
        </w:pBdr>
        <w:spacing w:after="140" w:before="0"/>
      </w:pPr>
    </w:p>
    <w:p>
      <w:pPr>
        <w:spacing w:after="50" w:before="40"/>
      </w:pPr>
      <w:r>
        <w:rPr>
          <w:rFonts w:ascii="Arial" w:cs="Arial" w:eastAsia="Arial" w:hAnsi="Arial"/>
          <w:color w:val="444444"/>
          <w:sz w:val="19"/>
          <w:szCs w:val="19"/>
        </w:rPr>
        <w:t xml:space="preserve">The word "alternative" implies a lesser path. It signals to employers that the candidates who took it were unable to take the preferred one. That framing is both inaccurate and damaging — and it is the single greatest barrier to scaling apprenticeship as a national workforce strategy.</w:t>
      </w:r>
    </w:p>
    <w:p>
      <w:pPr>
        <w:spacing w:after="0" w:before="50"/>
      </w:pPr>
    </w:p>
    <w:p>
      <w:pPr>
        <w:spacing w:after="50" w:before="40"/>
      </w:pPr>
      <w:r>
        <w:rPr>
          <w:rFonts w:ascii="Arial" w:cs="Arial" w:eastAsia="Arial" w:hAnsi="Arial"/>
          <w:color w:val="444444"/>
          <w:sz w:val="19"/>
          <w:szCs w:val="19"/>
        </w:rPr>
        <w:t xml:space="preserve">KTCS's results reframe the argument entirely. The question is no longer whether non-degreed candidates can perform at Fortune-ranked employers. Six cohorts and a 96% conversion rate have answered that. The question is why the system continues to treat a proven pathway as a consolation prize rather than a legitimate — and in many cases superior — route to career readiness.</w:t>
      </w:r>
    </w:p>
    <w:p>
      <w:pPr>
        <w:spacing w:after="0" w:before="50"/>
      </w:pPr>
    </w:p>
    <w:p>
      <w:pPr>
        <w:spacing w:after="50" w:before="40"/>
      </w:pPr>
      <w:r>
        <w:rPr>
          <w:rFonts w:ascii="Arial" w:cs="Arial" w:eastAsia="Arial" w:hAnsi="Arial"/>
          <w:color w:val="444444"/>
          <w:sz w:val="19"/>
          <w:szCs w:val="19"/>
        </w:rPr>
        <w:t xml:space="preserve">Cohort-based apprenticeship does something a four-year degree cannot: it places a candidate in a real work environment, with a real employer, earning real compensation, while their skills are being built and assessed in parallel. The employer sees the candidate perform before making a permanent hiring decision. The candidate experiences the role before committing to it. Both parties arrive at full-time employment with certainty rather than hope.</w:t>
      </w:r>
    </w:p>
    <w:p>
      <w:pPr>
        <w:spacing w:after="0" w:before="50"/>
      </w:pPr>
    </w:p>
    <w:p>
      <w:pPr>
        <w:spacing w:after="50" w:before="40"/>
      </w:pPr>
      <w:r>
        <w:rPr>
          <w:rFonts w:ascii="Arial" w:cs="Arial" w:eastAsia="Arial" w:hAnsi="Arial"/>
          <w:color w:val="444444"/>
          <w:sz w:val="19"/>
          <w:szCs w:val="19"/>
        </w:rPr>
        <w:t xml:space="preserve">That is not an alternative. That is a better model.</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6"/>
              <w:left w:val="nil" w:color="FFFFFF" w:sz="0"/>
              <w:bottom w:val="single" w:color="C8922A" w:sz="6"/>
              <w:right w:val="nil" w:color="FFFFFF" w:sz="0"/>
            </w:tcBorders>
            <w:shd w:fill="FDF6EC" w:val="clear"/>
            <w:tcMar>
              <w:top w:type="dxa" w:w="180"/>
              <w:left w:type="dxa" w:w="260"/>
              <w:bottom w:type="dxa" w:w="180"/>
              <w:right w:type="dxa" w:w="260"/>
            </w:tcMar>
          </w:tcPr>
          <w:p>
            <w:pPr>
              <w:spacing w:after="70" w:before="0"/>
            </w:pPr>
            <w:r>
              <w:rPr>
                <w:rFonts w:ascii="Arial" w:cs="Arial" w:eastAsia="Arial" w:hAnsi="Arial"/>
                <w:b/>
                <w:bCs/>
                <w:color w:val="C8922A"/>
                <w:sz w:val="19"/>
                <w:szCs w:val="19"/>
              </w:rPr>
              <w:t xml:space="preserve">THE CORPORATE IMPERATIVE — RISK, COST, AND THE TALENT PIPELINE</w:t>
            </w:r>
          </w:p>
          <w:p>
            <w:pPr>
              <w:spacing w:after="70" w:before="0"/>
            </w:pPr>
            <w:r>
              <w:rPr>
                <w:rFonts w:ascii="Arial" w:cs="Arial" w:eastAsia="Arial" w:hAnsi="Arial"/>
                <w:color w:val="222222"/>
                <w:sz w:val="19"/>
                <w:szCs w:val="19"/>
              </w:rPr>
              <w:t xml:space="preserve">AI will not eliminate the need for human talent — it will raise the standard for it. Every AI implementation requires human judgment, oversight, and intervention. The organizations that thrive will be those that build talent pipelines now, before the competition does. Apprenticeship is the most effective and lowest-risk mechanism available:</w:t>
            </w:r>
          </w:p>
          <w:p>
            <w:pPr>
              <w:pStyle w:val="ListParagraph"/>
              <w:numPr>
                <w:ilvl w:val="0"/>
                <w:numId w:val="2"/>
              </w:numPr>
              <w:spacing w:after="40" w:before="40"/>
            </w:pPr>
            <w:r>
              <w:rPr>
                <w:rFonts w:ascii="Arial" w:cs="Arial" w:eastAsia="Arial" w:hAnsi="Arial"/>
                <w:b/>
                <w:bCs/>
                <w:color w:val="1F3864"/>
                <w:sz w:val="19"/>
                <w:szCs w:val="19"/>
              </w:rPr>
              <w:t xml:space="preserve">Risk mitigation: </w:t>
            </w:r>
            <w:r>
              <w:rPr>
                <w:rFonts w:ascii="Arial" w:cs="Arial" w:eastAsia="Arial" w:hAnsi="Arial"/>
                <w:color w:val="444444"/>
                <w:sz w:val="19"/>
                <w:szCs w:val="19"/>
              </w:rPr>
              <w:t xml:space="preserve">A 12-month earn-while-you-learn period gives both the employer and the apprentice a full performance window before either party commits to full-time employment — dramatically reducing mis-hire risk and the cost of a wrong decision.</w:t>
            </w:r>
          </w:p>
          <w:p>
            <w:pPr>
              <w:pStyle w:val="ListParagraph"/>
              <w:numPr>
                <w:ilvl w:val="0"/>
                <w:numId w:val="2"/>
              </w:numPr>
              <w:spacing w:after="40" w:before="40"/>
            </w:pPr>
            <w:r>
              <w:rPr>
                <w:rFonts w:ascii="Arial" w:cs="Arial" w:eastAsia="Arial" w:hAnsi="Arial"/>
                <w:b/>
                <w:bCs/>
                <w:color w:val="1F3864"/>
                <w:sz w:val="19"/>
                <w:szCs w:val="19"/>
              </w:rPr>
              <w:t xml:space="preserve">Cost reduction: </w:t>
            </w:r>
            <w:r>
              <w:rPr>
                <w:rFonts w:ascii="Arial" w:cs="Arial" w:eastAsia="Arial" w:hAnsi="Arial"/>
                <w:color w:val="444444"/>
                <w:sz w:val="19"/>
                <w:szCs w:val="19"/>
              </w:rPr>
              <w:t xml:space="preserve">Apprenticeship absorbs recruitment, screening, and onboarding costs that traditional hiring transfers entirely to the employer. The talent pipeline is built and validated before the headcount decision is made.</w:t>
            </w:r>
          </w:p>
          <w:p>
            <w:pPr>
              <w:pStyle w:val="ListParagraph"/>
              <w:numPr>
                <w:ilvl w:val="0"/>
                <w:numId w:val="2"/>
              </w:numPr>
              <w:spacing w:after="0" w:before="40"/>
            </w:pPr>
            <w:r>
              <w:rPr>
                <w:rFonts w:ascii="Arial" w:cs="Arial" w:eastAsia="Arial" w:hAnsi="Arial"/>
                <w:b/>
                <w:bCs/>
                <w:color w:val="1F3864"/>
                <w:sz w:val="19"/>
                <w:szCs w:val="19"/>
              </w:rPr>
              <w:t xml:space="preserve">Talent quality: </w:t>
            </w:r>
            <w:r>
              <w:rPr>
                <w:rFonts w:ascii="Arial" w:cs="Arial" w:eastAsia="Arial" w:hAnsi="Arial"/>
                <w:color w:val="444444"/>
                <w:sz w:val="19"/>
                <w:szCs w:val="19"/>
              </w:rPr>
              <w:t xml:space="preserve">KTCS delivers candidates assessed, trained to employer-specific standards, and evaluated in real work environments — not selected from a resume stack filtered by a credential they were never given the opportunity to earn.</w:t>
            </w:r>
          </w:p>
        </w:tc>
      </w:tr>
    </w:tbl>
    <w:p>
      <w:pPr>
        <w:spacing w:after="0" w:before="140"/>
      </w:pPr>
    </w:p>
    <w:p>
      <w:pPr>
        <w:spacing w:after="80" w:before="200"/>
      </w:pPr>
      <w:r>
        <w:rPr>
          <w:rFonts w:ascii="Arial" w:cs="Arial" w:eastAsia="Arial" w:hAnsi="Arial"/>
          <w:b/>
          <w:bCs/>
          <w:color w:val="C8922A"/>
          <w:sz w:val="19"/>
          <w:szCs w:val="19"/>
        </w:rPr>
        <w:t xml:space="preserve">THE NATIONAL OPPORTUNITY</w:t>
      </w:r>
    </w:p>
    <w:p>
      <w:pPr>
        <w:pBdr>
          <w:bottom w:val="single" w:color="C8922A" w:sz="6" w:space="1"/>
        </w:pBdr>
        <w:spacing w:after="140" w:before="0"/>
      </w:pPr>
    </w:p>
    <w:p>
      <w:pPr>
        <w:spacing w:after="50" w:before="40"/>
      </w:pPr>
      <w:r>
        <w:rPr>
          <w:rFonts w:ascii="Arial" w:cs="Arial" w:eastAsia="Arial" w:hAnsi="Arial"/>
          <w:color w:val="444444"/>
          <w:sz w:val="19"/>
          <w:szCs w:val="19"/>
        </w:rPr>
        <w:t xml:space="preserve">The Opportunity-First Framework is not a pilot. It is a proven, repeatable model with six completed programs, documented outcomes, and employer validation across Fortune-ranked organizations. What it requires to reach national scale is not further proof of concept — it is the policy alignment, institutional infrastructure, and federal partnership that can take a working model and replicate it across industries, geographies, and employer sectors.</w:t>
      </w:r>
    </w:p>
    <w:p>
      <w:pPr>
        <w:spacing w:after="0" w:before="50"/>
      </w:pPr>
    </w:p>
    <w:p>
      <w:pPr>
        <w:spacing w:after="50" w:before="40"/>
      </w:pPr>
      <w:r>
        <w:rPr>
          <w:rFonts w:ascii="Arial" w:cs="Arial" w:eastAsia="Arial" w:hAnsi="Arial"/>
          <w:color w:val="444444"/>
          <w:sz w:val="19"/>
          <w:szCs w:val="19"/>
        </w:rPr>
        <w:t xml:space="preserve">KTCS brings 28 years of learning and workforce development experience, a DOL pre-apprenticeship track record, Microsoft Cloud Partner capabilities, and a delivery model that is already producing the outcomes the national apprenticeship expansion agenda is calling for.</w:t>
      </w:r>
    </w:p>
    <w:p>
      <w:pPr>
        <w:spacing w:after="0" w:before="50"/>
      </w:pPr>
    </w:p>
    <w:p>
      <w:pPr>
        <w:spacing w:after="50" w:before="40"/>
      </w:pPr>
      <w:r>
        <w:rPr>
          <w:rFonts w:ascii="Arial" w:cs="Arial" w:eastAsia="Arial" w:hAnsi="Arial"/>
          <w:color w:val="1F3864"/>
          <w:sz w:val="19"/>
          <w:szCs w:val="19"/>
        </w:rPr>
        <w:t xml:space="preserve">The Third Track exists. It is working. The question now is whether the system is ready to stop calling it alternative — and start building the infrastructure to make it the standard.</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120"/>
              <w:left w:type="dxa" w:w="280"/>
              <w:bottom w:type="dxa" w:w="120"/>
              <w:right w:type="dxa" w:w="280"/>
            </w:tcMar>
          </w:tcPr>
          <w:p>
            <w:pPr>
              <w:jc w:val="center"/>
            </w:pPr>
            <w:r>
              <w:rPr>
                <w:rFonts w:ascii="Arial" w:cs="Arial" w:eastAsia="Arial" w:hAnsi="Arial"/>
                <w:b/>
                <w:bCs/>
                <w:color w:val="C8922A"/>
                <w:sz w:val="17"/>
                <w:szCs w:val="17"/>
              </w:rPr>
              <w:t xml:space="preserve">Gary Gwaltney  |  Co-Founder &amp; Chief Managed Learning Officer  |  </w:t>
            </w:r>
            <w:r>
              <w:rPr>
                <w:rFonts w:ascii="Arial" w:cs="Arial" w:eastAsia="Arial" w:hAnsi="Arial"/>
                <w:color w:val="A0B8CC"/>
                <w:sz w:val="17"/>
                <w:szCs w:val="17"/>
              </w:rPr>
              <w:t xml:space="preserve">garygwaltney@gmail.com  |  knowledgetransferinc.com  |  linkedin.com/in/garygwaltney</w:t>
            </w:r>
          </w:p>
        </w:tc>
      </w:tr>
    </w:tbl>
    <w:sectPr>
      <w:pgSz w:w="12240" w:h="15840" w:orient="portrait"/>
      <w:pgMar w:top="640" w:right="1000" w:bottom="6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2026-04-22T19:19:20.166Z</dcterms:created>
  <dcterms:modified xsi:type="dcterms:W3CDTF">2026-04-22T19:19:20.168Z</dcterms:modified>
</cp:coreProperties>
</file>

<file path=docProps/custom.xml><?xml version="1.0" encoding="utf-8"?>
<Properties xmlns="http://schemas.openxmlformats.org/officeDocument/2006/custom-properties" xmlns:vt="http://schemas.openxmlformats.org/officeDocument/2006/docPropsVTypes"/>
</file>