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65D"/>
          <w:sz w:val="36"/>
          <w:szCs w:val="36"/>
        </w:rPr>
        <w:t xml:space="preserve">Foundry-X PRD v3 검토 보고서 (Round 2)</w:t>
      </w:r>
    </w:p>
    <w:p>
      <w:pPr>
        <w:spacing w:after="60"/>
        <w:jc w:val="center"/>
      </w:pPr>
      <w:r>
        <w:rPr>
          <w:rFonts w:ascii="Arial" w:cs="Arial" w:eastAsia="Arial" w:hAnsi="Arial"/>
          <w:color w:val="718096"/>
          <w:sz w:val="22"/>
          <w:szCs w:val="22"/>
        </w:rPr>
        <w:t xml:space="preserve">Round 1 지적사항 반영 검증 및 신규 이슈 식별</w:t>
      </w:r>
    </w:p>
    <w:p>
      <w:pPr>
        <w:spacing w:after="300"/>
        <w:jc w:val="center"/>
      </w:pPr>
      <w:r>
        <w:rPr>
          <w:rFonts w:ascii="Arial" w:cs="Arial" w:eastAsia="Arial" w:hAnsi="Arial"/>
          <w:color w:val="A0AEC0"/>
          <w:sz w:val="20"/>
          <w:szCs w:val="20"/>
        </w:rPr>
        <w:t xml:space="preserve">2026.03.16 | KT DS AX BD팀</w:t>
      </w:r>
    </w:p>
    <w:p>
      <w:pPr>
        <w:pBdr>
          <w:left w:val="single" w:color="F39C12" w:sz="12"/>
        </w:pBdr>
        <w:spacing w:after="200"/>
        <w:ind w:left="200"/>
      </w:pPr>
      <w:r>
        <w:rPr>
          <w:rFonts w:ascii="Arial" w:cs="Arial" w:eastAsia="Arial" w:hAnsi="Arial"/>
          <w:b/>
          <w:bCs/>
          <w:color w:val="F39C12"/>
          <w:sz w:val="18"/>
          <w:szCs w:val="18"/>
        </w:rPr>
        <w:t xml:space="preserve">⚠ 참고: </w:t>
      </w:r>
      <w:r>
        <w:rPr>
          <w:rFonts w:ascii="Arial" w:cs="Arial" w:eastAsia="Arial" w:hAnsi="Arial"/>
          <w:color w:val="2D3748"/>
          <w:sz w:val="18"/>
          <w:szCs w:val="18"/>
        </w:rPr>
        <w:t xml:space="preserve">GitHub 리포지토리가 Private이어 PRD v3 전문 접근이 불가합니다. 요청에 명시된 v3 반영 내용을 기반으로 검토했습니다. 전문 제공 시 문구 레벨 정밀 검증이 가능합니다.</w:t>
      </w:r>
    </w:p>
    <w:p>
      <w:pPr>
        <w:pStyle w:val="Heading1"/>
      </w:pPr>
      <w:r>
        <w:rPr>
          <w:rFonts w:ascii="Arial" w:cs="Arial" w:eastAsia="Arial" w:hAnsi="Arial"/>
        </w:rPr>
        <w:t xml:space="preserve">요약 판정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착수 판단</w:t>
            </w:r>
          </w:p>
        </w:tc>
        <w:tc>
          <w:tcPr>
            <w:tcW w:type="dxa" w:w="624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pPr>
              <w:jc w:val="left"/>
            </w:pPr>
            <w:r>
              <w:rPr>
                <w:rFonts w:ascii="Arial" w:cs="Arial" w:eastAsia="Arial" w:hAnsi="Arial"/>
                <w:b/>
                <w:bCs/>
                <w:color w:val="27AE60"/>
                <w:sz w:val="22"/>
                <w:szCs w:val="22"/>
              </w:rPr>
              <w:t xml:space="preserve">Conditional → Ready (with minor conditions)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C0392B"/>
                <w:sz w:val="18"/>
                <w:szCs w:val="18"/>
              </w:rPr>
              <w:t xml:space="preserve">Critical 이슈</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3건 → 0건 (2건 해결됨, 1건 부분 해결 → 실질적 착수 차단 요소 제거)</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E67E22"/>
                <w:sz w:val="18"/>
                <w:szCs w:val="18"/>
              </w:rPr>
              <w:t xml:space="preserve">High 이슈</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5건 → 1건 잔존 (3건 해결, 1건 Phase 1에서 제거, 1건 부분 해결)</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신규 이슈</w:t>
            </w:r>
          </w:p>
        </w:tc>
        <w:tc>
          <w:tcPr>
            <w:tcW w:type="dxa" w:w="624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3건 식별 (High 1건, Medium 2건) — Phase 1→2 전환 위험 중심</w:t>
            </w:r>
          </w:p>
        </w:tc>
      </w:tr>
    </w:tbl>
    <w:p>
      <w:pPr>
        <w:spacing w:after="100" w:before="200"/>
      </w:pPr>
    </w:p>
    <w:p>
      <w:pPr>
        <w:pStyle w:val="Heading1"/>
      </w:pPr>
      <w:r>
        <w:rPr>
          <w:rFonts w:ascii="Arial" w:cs="Arial" w:eastAsia="Arial" w:hAnsi="Arial"/>
        </w:rPr>
        <w:t xml:space="preserve">1. Critical 이슈 해결 여부 (3건)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300"/>
        <w:gridCol w:w="5160"/>
      </w:tblGrid>
      <w:tr>
        <w:tc>
          <w:tcPr>
            <w:tcW w:type="dxa" w:w="7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이슈</w:t>
            </w:r>
          </w:p>
        </w:tc>
        <w:tc>
          <w:tcPr>
            <w:tcW w:type="dxa" w:w="13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판정</w:t>
            </w:r>
          </w:p>
        </w:tc>
        <w:tc>
          <w:tcPr>
            <w:tcW w:type="dxa" w:w="5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근거</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S-01</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SDD Engine ↔ API Server 통신 계약</w:t>
            </w:r>
          </w:p>
        </w:tc>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해결됨</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Phase 1에서 API Server를 제거하고 CLI→Plumb 직접 호출로 변경하여 통신 계약 문제 자체를 제거했습니다. Phase 2에서 OpenAPI 3.1 필수로 명시한 것은 적절합니다. Phase 1 기간에 실제 CLI→Plumb 인터페이스가 자연스럽게 OpenAPI 계약의 프로토타입 역할을 할 수 있습니다.</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E-01</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에이전트 간 Git 충돌 해결</w:t>
            </w:r>
          </w:p>
        </w:tc>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해결됨</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브랜치 기반 격리 전략 확정 + Phase 1 단일 에이전트 제약으로 충돌 시나리오 자체를 제거했습니다. Phase 2에서 복수 에이전트 도입 시 병합 전략(rebase-first 또는 auto-merge)을 미리 설계해두면 좋겠습니다.</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D-01</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Plumb(Python) ↔ TS 통합</w:t>
            </w:r>
          </w:p>
        </w:tc>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E67E22"/>
                <w:sz w:val="18"/>
                <w:szCs w:val="18"/>
              </w:rPr>
              <w:t xml:space="preserve">부분 해결</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2트랙 접근(Track A: subprocess 래퍼, Track B: TS 재구현 대기)은 현실적입니다. 다만 Track A→B 전환 기준(성능 병목, 기능 한계 등)이 명시되어야 하며, subprocess 래퍼의 오류 처리(timeout, stderr 파싱, exit code 매핑)가 구체적으로 정의되어야 합니다. 착수 차단 요소는 아니지만 Sprint 1에서 해결 권고.</w:t>
            </w:r>
          </w:p>
        </w:tc>
      </w:tr>
    </w:tbl>
    <w:p>
      <w:pPr>
        <w:spacing w:after="100" w:before="200"/>
      </w:pPr>
    </w:p>
    <w:p>
      <w:pPr>
        <w:pStyle w:val="Heading1"/>
      </w:pPr>
      <w:r>
        <w:rPr>
          <w:rFonts w:ascii="Arial" w:cs="Arial" w:eastAsia="Arial" w:hAnsi="Arial"/>
        </w:rPr>
        <w:t xml:space="preserve">2. High 이슈 해결 여부 (5건)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300"/>
        <w:gridCol w:w="5160"/>
      </w:tblGrid>
      <w:tr>
        <w:tc>
          <w:tcPr>
            <w:tcW w:type="dxa" w:w="7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w:t>
            </w:r>
          </w:p>
        </w:tc>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이슈</w:t>
            </w:r>
          </w:p>
        </w:tc>
        <w:tc>
          <w:tcPr>
            <w:tcW w:type="dxa" w:w="13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판정</w:t>
            </w:r>
          </w:p>
        </w:tc>
        <w:tc>
          <w:tcPr>
            <w:tcW w:type="dxa" w:w="5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근거</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S-02</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5축 간 순환 의존</w:t>
            </w:r>
          </w:p>
        </w:tc>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C0392B"/>
                <w:sz w:val="18"/>
                <w:szCs w:val="18"/>
              </w:rPr>
              <w:t xml:space="preserve">Phase 1에서 제거</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Phase 1이 CLI+Plumb 단일 흐름으로 축소되면서 5축 구조 자체가 아직 활성화되지 않습니다. Phase 2 설계 시 이벤트 버스 기반 DAG 플로우를 미리 설계해두시기 바랍니다.</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S-03</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Git ↔ PostgreSQL 정합성</w:t>
            </w:r>
          </w:p>
        </w:tc>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해결됨</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Git 우선 + DB 비동기 동기화 + 5분 reconciliation job은 합리적입니다. Git이 SSOT이므로 DB는 파생 캐시 역할이며, reconciliation이 불일치를 보정합니다. 다만 Phase 1에서는 PostgreSQL 자체가 없으므로 이 이슈는 Phase 2에서 실제로 검증됩니다.</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E-02</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Git Hook 실패 시 에이전트 중단</w:t>
            </w:r>
          </w:p>
        </w:tc>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7AE60"/>
                <w:sz w:val="18"/>
                <w:szCs w:val="18"/>
              </w:rPr>
              <w:t xml:space="preserve">해결됨</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hook 실패 → 에이전트 자동 수정 2회 → human escalation 플로우는 적절합니다. 추가로 자동 수정 시도 사이의 backoff 시간과, 실패 유형별 분기(문법 오류 vs 테스트 실패 vs 권한 문제)를 구분하면 더 견고해집니다.</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D-02</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GitHub/GitLab 추상화 레이어</w:t>
            </w:r>
          </w:p>
        </w:tc>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E67E22"/>
                <w:sz w:val="18"/>
                <w:szCs w:val="18"/>
              </w:rPr>
              <w:t xml:space="preserve">부분 해결</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Phase 1이 단일 Git provider를 대상으로 한다면 추상화 레이어가 급하지 않습니다. 하지만 PRD v3에서 Phase 1의 대상 provider가 GitHub인지 GitLab인지 명시되어야 하며, Phase 2에서의 추상화 범위(Adapter 패턴 vs Plugin 시스템)도 미리 방향이 정해져야 합니다.</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R-03</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shared-auth 호환성</w:t>
            </w:r>
          </w:p>
        </w:tc>
        <w:tc>
          <w:tcPr>
            <w:tcW w:type="dxa" w:w="13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C0392B"/>
                <w:sz w:val="18"/>
                <w:szCs w:val="18"/>
              </w:rPr>
              <w:t xml:space="preserve">Phase 1에서 제거</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Phase 1이 CLI 전용이면 인증은 Git credential + local config로 충분합니다. shared-auth는 Phase 2(Web+API) 도입 시 검증하면 됩니다.</w:t>
            </w:r>
          </w:p>
        </w:tc>
      </w:tr>
    </w:tbl>
    <w:p>
      <w:pPr>
        <w:spacing w:after="100" w:before="200"/>
      </w:pPr>
    </w:p>
    <w:p>
      <w:pPr>
        <w:pStyle w:val="Heading1"/>
      </w:pPr>
      <w:r>
        <w:rPr>
          <w:rFonts w:ascii="Arial" w:cs="Arial" w:eastAsia="Arial" w:hAnsi="Arial"/>
        </w:rPr>
        <w:t xml:space="preserve">3. 신규 식별 이슈 (v3에서 발생)</w:t>
      </w:r>
    </w:p>
    <w:p>
      <w:pPr>
        <w:spacing w:after="120"/>
      </w:pPr>
      <w:r>
        <w:rPr>
          <w:rFonts w:ascii="Arial" w:cs="Arial" w:eastAsia="Arial" w:hAnsi="Arial"/>
          <w:color w:val="2D3748"/>
          <w:sz w:val="20"/>
          <w:szCs w:val="20"/>
        </w:rPr>
        <w:t xml:space="preserve">v3의 Phase 분리 전략은 많은 문제를 해결했지만, 동시에 새로운 구조적 위험을 도입했습니다: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400"/>
        <w:gridCol w:w="5260"/>
      </w:tblGrid>
      <w:tr>
        <w:tc>
          <w:tcPr>
            <w:tcW w:type="dxa" w:w="7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ID</w:t>
            </w:r>
          </w:p>
        </w:tc>
        <w:tc>
          <w:tcPr>
            <w:tcW w:type="dxa" w:w="1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심각도</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이슈</w:t>
            </w:r>
          </w:p>
        </w:tc>
        <w:tc>
          <w:tcPr>
            <w:tcW w:type="dxa" w:w="52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상세 설명</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N-01</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E67E22"/>
                <w:sz w:val="18"/>
                <w:szCs w:val="18"/>
              </w:rPr>
              <w:t xml:space="preserve">High</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Phase 1→2 아키텍처 단절 위험</w:t>
            </w:r>
          </w:p>
        </w:tc>
        <w:tc>
          <w:tcPr>
            <w:tcW w:type="dxa" w:w="52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Phase 1(CLI+Plumb, Git only, 단일 에이전트)과 Phase 2(API+Web+DB, 복수 에이전트)는 사실상 별개 시스템입니다. Phase 1 코드가 Phase 2에서 대규모 리팩토링 없이 진화할 수 있는지가 핵심입니다. 권고: Phase 1의 핵심 모듈(SDD 파싱, Git 조작, 하네스 로직)을 독립 패키지로 분리하여, Phase 2에서 API Server가 동일 패키지를 import하는 구조로 설계하세요.</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N-02</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Medium</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모노리포 내 TS+Python 공존</w:t>
            </w:r>
          </w:p>
        </w:tc>
        <w:tc>
          <w:tcPr>
            <w:tcW w:type="dxa" w:w="52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모노리포에서 TypeScript(CLI)와 Python(Plumb)이 공존하면: (a) 두 언어의 패키지 매니저(npm + pip/uv)가 공존, (b) CI/CD가 별도 빌드 파이프라인 필요, (c) 공유 config(린터, 포매터 등) 불가. Turborepo/Nx 같은 모노리포 도구가 Python을 잘 지원하는지 검증이 필요합니다. 대안으로 packages/plumb 디렉토리를 독립 빌드 단위로 취급하는 방법이 있습니다.</w:t>
            </w:r>
          </w:p>
        </w:tc>
      </w:tr>
      <w:tr>
        <w:tc>
          <w:tcPr>
            <w:tcW w:type="dxa" w:w="7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2B6CB0"/>
                <w:sz w:val="18"/>
                <w:szCs w:val="18"/>
              </w:rPr>
              <w:t xml:space="preserve">N-03</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bCs/>
                <w:color w:val="F39C12"/>
                <w:sz w:val="18"/>
                <w:szCs w:val="18"/>
              </w:rPr>
              <w:t xml:space="preserve">Medium</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Phase 1 메타데이터 관리 부재</w:t>
            </w:r>
          </w:p>
        </w:tc>
        <w:tc>
          <w:tcPr>
            <w:tcW w:type="dxa" w:w="5260"/>
            <w:tcBorders>
              <w:top w:val="single" w:color="CBD5E0" w:sz="1"/>
              <w:left w:val="single" w:color="CBD5E0" w:sz="1"/>
              <w:bottom w:val="single" w:color="CBD5E0" w:sz="1"/>
              <w:right w:val="single" w:color="CBD5E0" w:sz="1"/>
            </w:tcBorders>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Phase 1에서 PostgreSQL이 없으면 프로젝트 메타데이터(이름, 생성일, 설정), 사용자 정보, 에이전트 세션 이력 등을 어디에 저장하는지 명확해야 합니다. 선택지: (a) Git 리포 내 .foundry-x/ 디렉토리에 YAML/JSON으로 저장, (b) 로컬 SQLite, (c) 설정 파일. (a)가 Git SSOT 철학과 일관되지만, 사용자 관리 데이터는 Git에 넣기 부적절할 수 있습니다.</w:t>
            </w:r>
          </w:p>
        </w:tc>
      </w:tr>
    </w:tbl>
    <w:p>
      <w:pPr>
        <w:spacing w:after="100" w:before="200"/>
      </w:pPr>
    </w:p>
    <w:p>
      <w:pPr>
        <w:pStyle w:val="Heading1"/>
      </w:pPr>
      <w:r>
        <w:rPr>
          <w:rFonts w:ascii="Arial" w:cs="Arial" w:eastAsia="Arial" w:hAnsi="Arial"/>
        </w:rPr>
        <w:t xml:space="preserve">4. 착수 판단 (Go/No-Go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CBD5E0" w:sz="1"/>
              <w:bottom w:val="single" w:color="CBD5E0" w:sz="1"/>
              <w:right w:val="single" w:color="CBD5E0" w:sz="1"/>
            </w:tcBorders>
            <w:shd w:fill="E8F5E9" w:val="clear"/>
            <w:tcMar>
              <w:top w:type="dxa" w:w="200"/>
              <w:left w:type="dxa" w:w="300"/>
              <w:bottom w:type="dxa" w:w="200"/>
              <w:right w:type="dxa" w:w="300"/>
            </w:tcMar>
          </w:tcPr>
          <w:p>
            <w:pPr>
              <w:spacing w:after="160"/>
            </w:pPr>
            <w:r>
              <w:rPr>
                <w:rFonts w:ascii="Arial" w:cs="Arial" w:eastAsia="Arial" w:hAnsi="Arial"/>
                <w:b/>
                <w:bCs/>
                <w:color w:val="27AE60"/>
                <w:sz w:val="28"/>
                <w:szCs w:val="28"/>
              </w:rPr>
              <w:t xml:space="preserve">판정: Ready (with minor conditions)</w:t>
            </w:r>
          </w:p>
          <w:p>
            <w:pPr>
              <w:spacing w:after="80"/>
            </w:pPr>
            <w:r>
              <w:rPr>
                <w:rFonts w:ascii="Arial" w:cs="Arial" w:eastAsia="Arial" w:hAnsi="Arial"/>
                <w:b/>
                <w:bCs/>
                <w:color w:val="2B6CB0"/>
                <w:sz w:val="20"/>
                <w:szCs w:val="20"/>
              </w:rPr>
              <w:t xml:space="preserve">Round 1 대비: Critical 3→0, High 5→1, 신규 High 1 / Medium 2</w:t>
            </w:r>
          </w:p>
        </w:tc>
      </w:tr>
    </w:tbl>
    <w:p>
      <w:pPr>
        <w:spacing w:after="100" w:before="200"/>
      </w:pPr>
    </w:p>
    <w:p>
      <w:pPr>
        <w:pStyle w:val="Heading2"/>
      </w:pPr>
      <w:r>
        <w:rPr>
          <w:rFonts w:ascii="Arial" w:cs="Arial" w:eastAsia="Arial" w:hAnsi="Arial"/>
        </w:rPr>
        <w:t xml:space="preserve">4.1 판정 근거</w:t>
      </w:r>
    </w:p>
    <w:p>
      <w:pPr>
        <w:spacing w:after="120"/>
      </w:pPr>
      <w:r>
        <w:rPr>
          <w:rFonts w:ascii="Arial" w:cs="Arial" w:eastAsia="Arial" w:hAnsi="Arial"/>
          <w:color w:val="2D3748"/>
          <w:sz w:val="20"/>
          <w:szCs w:val="20"/>
        </w:rPr>
        <w:t xml:space="preserve">v3의 핵심 개선은 Phase 분리 전략입니다. Phase 1을 CLI+Plumb+Git으로 최소화함으로써:</w:t>
      </w:r>
    </w:p>
    <w:p>
      <w:pPr>
        <w:spacing w:after="120"/>
      </w:pPr>
      <w:r>
        <w:rPr>
          <w:rFonts w:ascii="Arial" w:cs="Arial" w:eastAsia="Arial" w:hAnsi="Arial"/>
          <w:color w:val="2D3748"/>
          <w:sz w:val="20"/>
          <w:szCs w:val="20"/>
        </w:rPr>
        <w:t xml:space="preserve">• API Server 통신 계약(S-01), 에이전트 충돌(E-01), Git/DB 정합성(S-03), 5축 순환(S-02), 인증(R-03) 문제를 Phase 2로 이연하여 초기 복잡성을 제거했습니다.</w:t>
      </w:r>
    </w:p>
    <w:p>
      <w:pPr>
        <w:spacing w:after="120"/>
      </w:pPr>
      <w:r>
        <w:rPr>
          <w:rFonts w:ascii="Arial" w:cs="Arial" w:eastAsia="Arial" w:hAnsi="Arial"/>
          <w:color w:val="2D3748"/>
          <w:sz w:val="20"/>
          <w:szCs w:val="20"/>
        </w:rPr>
        <w:t xml:space="preserve">• 단, 이는 문제를 해결한 것이 아니라 연기한 것이므로, Phase 2 설계 문서가 사전에 준비되어야 합니다.</w:t>
      </w:r>
    </w:p>
    <w:p>
      <w:pPr>
        <w:spacing w:after="100" w:before="200"/>
      </w:pPr>
    </w:p>
    <w:p>
      <w:pPr>
        <w:pStyle w:val="Heading2"/>
      </w:pPr>
      <w:r>
        <w:rPr>
          <w:rFonts w:ascii="Arial" w:cs="Arial" w:eastAsia="Arial" w:hAnsi="Arial"/>
        </w:rPr>
        <w:t xml:space="preserve">4.2 착수 조건 (Sprint 1 내 해결 권고)</w:t>
      </w:r>
    </w:p>
    <w:p>
      <w:pPr>
        <w:spacing w:after="120"/>
      </w:pPr>
      <w:r>
        <w:rPr>
          <w:rFonts w:ascii="Arial" w:cs="Arial" w:eastAsia="Arial" w:hAnsi="Arial"/>
          <w:color w:val="2D3748"/>
          <w:sz w:val="20"/>
          <w:szCs w:val="20"/>
        </w:rPr>
        <w:t xml:space="preserve">1. [D-01] subprocess 래퍼의 오류 처리 계약 구체화 (timeout, exit code 매핑, stderr 파싱 규칙)</w:t>
      </w:r>
    </w:p>
    <w:p>
      <w:pPr>
        <w:spacing w:after="120"/>
      </w:pPr>
      <w:r>
        <w:rPr>
          <w:rFonts w:ascii="Arial" w:cs="Arial" w:eastAsia="Arial" w:hAnsi="Arial"/>
          <w:color w:val="2D3748"/>
          <w:sz w:val="20"/>
          <w:szCs w:val="20"/>
        </w:rPr>
        <w:t xml:space="preserve">2. [N-01] Phase 1 핵심 모듈을 독립 패키지로 분리하여 Phase 2 재사용성 확보</w:t>
      </w:r>
    </w:p>
    <w:p>
      <w:pPr>
        <w:spacing w:after="120"/>
      </w:pPr>
      <w:r>
        <w:rPr>
          <w:rFonts w:ascii="Arial" w:cs="Arial" w:eastAsia="Arial" w:hAnsi="Arial"/>
          <w:color w:val="2D3748"/>
          <w:sz w:val="20"/>
          <w:szCs w:val="20"/>
        </w:rPr>
        <w:t xml:space="preserve">3. [N-02] 모노리포에서 TS+Python 빌드 파이프라인 검증 (Turborepo 호환성 또는 독립 빌드 단위 처리)</w:t>
      </w:r>
    </w:p>
    <w:p>
      <w:pPr>
        <w:spacing w:after="120"/>
      </w:pPr>
      <w:r>
        <w:rPr>
          <w:rFonts w:ascii="Arial" w:cs="Arial" w:eastAsia="Arial" w:hAnsi="Arial"/>
          <w:color w:val="2D3748"/>
          <w:sz w:val="20"/>
          <w:szCs w:val="20"/>
        </w:rPr>
        <w:t xml:space="preserve">4. [N-03] Phase 1 메타데이터 저장 방식 결정 (.foundry-x/ config 또는 로컬 SQLite)</w:t>
      </w:r>
    </w:p>
    <w:p>
      <w:pPr>
        <w:spacing w:after="100" w:before="200"/>
      </w:pPr>
    </w:p>
    <w:p>
      <w:pPr>
        <w:pStyle w:val="Heading2"/>
      </w:pPr>
      <w:r>
        <w:rPr>
          <w:rFonts w:ascii="Arial" w:cs="Arial" w:eastAsia="Arial" w:hAnsi="Arial"/>
        </w:rPr>
        <w:t xml:space="preserve">4.3 Phase 2 설계 사전 준비 권고</w:t>
      </w:r>
    </w:p>
    <w:p>
      <w:pPr>
        <w:spacing w:after="120"/>
      </w:pPr>
      <w:r>
        <w:rPr>
          <w:rFonts w:ascii="Arial" w:cs="Arial" w:eastAsia="Arial" w:hAnsi="Arial"/>
          <w:color w:val="2D3748"/>
          <w:sz w:val="20"/>
          <w:szCs w:val="20"/>
        </w:rPr>
        <w:t xml:space="preserve">Phase 1 개발과 병행으로 Phase 2 ADR(Architecture Decision Record)을 작성해두시기 바랍니다:</w:t>
      </w:r>
    </w:p>
    <w:p>
      <w:pPr>
        <w:spacing w:after="120"/>
      </w:pPr>
      <w:r>
        <w:rPr>
          <w:rFonts w:ascii="Arial" w:cs="Arial" w:eastAsia="Arial" w:hAnsi="Arial"/>
          <w:color w:val="2D3748"/>
          <w:sz w:val="20"/>
          <w:szCs w:val="20"/>
        </w:rPr>
        <w:t xml:space="preserve">• ADR-001: API Server 통신 계약 (OpenAPI 3.1 스키마 초안)</w:t>
      </w:r>
    </w:p>
    <w:p>
      <w:pPr>
        <w:spacing w:after="120"/>
      </w:pPr>
      <w:r>
        <w:rPr>
          <w:rFonts w:ascii="Arial" w:cs="Arial" w:eastAsia="Arial" w:hAnsi="Arial"/>
          <w:color w:val="2D3748"/>
          <w:sz w:val="20"/>
          <w:szCs w:val="20"/>
        </w:rPr>
        <w:t xml:space="preserve">• ADR-002: 복수 에이전트 충돌 해결 전략 (rebase-first vs auto-merge)</w:t>
      </w:r>
    </w:p>
    <w:p>
      <w:pPr>
        <w:spacing w:after="120"/>
      </w:pPr>
      <w:r>
        <w:rPr>
          <w:rFonts w:ascii="Arial" w:cs="Arial" w:eastAsia="Arial" w:hAnsi="Arial"/>
          <w:color w:val="2D3748"/>
          <w:sz w:val="20"/>
          <w:szCs w:val="20"/>
        </w:rPr>
        <w:t xml:space="preserve">• ADR-003: GitHub/GitLab 추상화 범위 및 패턴</w:t>
      </w:r>
    </w:p>
    <w:p>
      <w:pPr>
        <w:spacing w:after="120"/>
      </w:pPr>
      <w:r>
        <w:rPr>
          <w:rFonts w:ascii="Arial" w:cs="Arial" w:eastAsia="Arial" w:hAnsi="Arial"/>
          <w:color w:val="2D3748"/>
          <w:sz w:val="20"/>
          <w:szCs w:val="20"/>
        </w:rPr>
        <w:t xml:space="preserve">• ADR-004: Git ↔ PostgreSQL 정합성 reconciliation 실제 구현</w:t>
      </w:r>
    </w:p>
    <w:p>
      <w:pPr>
        <w:spacing w:after="120"/>
      </w:pPr>
      <w:r>
        <w:rPr>
          <w:rFonts w:ascii="Arial" w:cs="Arial" w:eastAsia="Arial" w:hAnsi="Arial"/>
          <w:color w:val="2D3748"/>
          <w:sz w:val="20"/>
          <w:szCs w:val="20"/>
        </w:rPr>
        <w:t xml:space="preserve">• ADR-005: shared-auth 호환성 검증 및 에이전트 인증 모델</w:t>
      </w:r>
    </w:p>
    <w:p>
      <w:pPr>
        <w:spacing w:after="120"/>
      </w:pPr>
      <w:r>
        <w:rPr>
          <w:rFonts w:ascii="Arial" w:cs="Arial" w:eastAsia="Arial" w:hAnsi="Arial"/>
          <w:color w:val="2D3748"/>
          <w:sz w:val="20"/>
          <w:szCs w:val="20"/>
        </w:rPr>
        <w:t xml:space="preserve">• ADR-006: Track A→B 전환 기준 (Plumb subprocess → TS 재구현)</w:t>
      </w:r>
    </w:p>
    <w:p>
      <w:pPr>
        <w:spacing w:after="100" w:before="200"/>
      </w:pPr>
    </w:p>
    <w:p>
      <w:pPr>
        <w:pBdr>
          <w:top w:val="single" w:color="CBD5E0" w:sz="2"/>
        </w:pBdr>
        <w:spacing w:after="200" w:before="300"/>
      </w:pPr>
    </w:p>
    <w:p>
      <w:pPr>
        <w:spacing w:after="120"/>
      </w:pPr>
      <w:r>
        <w:rPr>
          <w:rFonts w:ascii="Arial" w:cs="Arial" w:eastAsia="Arial" w:hAnsi="Arial"/>
          <w:i/>
          <w:iCs/>
          <w:color w:val="2D3748"/>
          <w:sz w:val="20"/>
          <w:szCs w:val="20"/>
        </w:rPr>
        <w:t xml:space="preserve">PRD v3의 Phase 분리 전략은 아키텍처 위험을 시간적으로 분산시킨 좋은 판단입니다. Phase 1의 범위가 명확하고 착수 가능하며, 위 조건들을 Sprint 1 내에 해결하면 건강한 기반 위에서 Phase 2로 진화할 수 있습니다.</w:t>
      </w:r>
    </w:p>
    <w:p>
      <w:pPr>
        <w:spacing w:after="120"/>
      </w:pPr>
      <w:r>
        <w:rPr>
          <w:rFonts w:ascii="Arial" w:cs="Arial" w:eastAsia="Arial" w:hAnsi="Arial"/>
          <w:color w:val="2D3748"/>
          <w:sz w:val="20"/>
          <w:szCs w:val="20"/>
        </w:rPr>
        <w:t xml:space="preserve">PRD v3 전문을 제공해주시면 문구 레벨 정밀 검증과 누락된 요구사항 발견이 가능합니다.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6CB0"/>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2026-03-16T06:28:18.473Z</dcterms:created>
  <dcterms:modified xsi:type="dcterms:W3CDTF">2026-03-16T06:28:18.474Z</dcterms:modified>
</cp:coreProperties>
</file>

<file path=docProps/custom.xml><?xml version="1.0" encoding="utf-8"?>
<Properties xmlns="http://schemas.openxmlformats.org/officeDocument/2006/custom-properties" xmlns:vt="http://schemas.openxmlformats.org/officeDocument/2006/docPropsVTypes"/>
</file>