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365D"/>
          <w:sz w:val="36"/>
          <w:szCs w:val="36"/>
        </w:rPr>
        <w:t xml:space="preserve">Foundry-X PRD v2 구조적 일관성 검토 보고서</w:t>
      </w:r>
    </w:p>
    <w:p>
      <w:pPr>
        <w:spacing w:after="60"/>
        <w:jc w:val="center"/>
      </w:pPr>
      <w:r>
        <w:rPr>
          <w:rFonts w:ascii="Arial" w:cs="Arial" w:eastAsia="Arial" w:hAnsi="Arial"/>
          <w:color w:val="718096"/>
          <w:sz w:val="22"/>
          <w:szCs w:val="22"/>
        </w:rPr>
        <w:t xml:space="preserve">시스템 설계 전문가 관점 리뷰</w:t>
      </w:r>
    </w:p>
    <w:p>
      <w:pPr>
        <w:spacing w:after="300"/>
        <w:jc w:val="center"/>
      </w:pPr>
      <w:r>
        <w:rPr>
          <w:rFonts w:ascii="Arial" w:cs="Arial" w:eastAsia="Arial" w:hAnsi="Arial"/>
          <w:color w:val="A0AEC0"/>
          <w:sz w:val="20"/>
          <w:szCs w:val="20"/>
        </w:rPr>
        <w:t xml:space="preserve">2026.03.16 | KT DS AX BD팀</w:t>
      </w:r>
    </w:p>
    <w:p>
      <w:pPr>
        <w:pBdr>
          <w:left w:val="single" w:color="F39C12" w:sz="12"/>
        </w:pBdr>
        <w:shd w:fill="FFF8E1" w:val="clear"/>
        <w:spacing w:after="200"/>
        <w:ind w:left="200"/>
      </w:pPr>
      <w:r>
        <w:rPr>
          <w:rFonts w:ascii="Arial" w:cs="Arial" w:eastAsia="Arial" w:hAnsi="Arial"/>
          <w:b/>
          <w:bCs/>
          <w:color w:val="F39C12"/>
          <w:sz w:val="18"/>
          <w:szCs w:val="18"/>
        </w:rPr>
        <w:t xml:space="preserve">⚠ 참고: </w:t>
      </w:r>
      <w:r>
        <w:rPr>
          <w:rFonts w:ascii="Arial" w:cs="Arial" w:eastAsia="Arial" w:hAnsi="Arial"/>
          <w:color w:val="2D3748"/>
          <w:sz w:val="18"/>
          <w:szCs w:val="18"/>
        </w:rPr>
        <w:t xml:space="preserve">본 검토는 GitHub 리포지토리가 Private이어 PRD 전문 접근이 불가하여, 요청에 명시된 아키텍처 정보를 기반으로 수행되었습니다. PRD 전문을 제공하시면 더 정밀한 검토가 가능합니다.</w:t>
      </w:r>
    </w:p>
    <w:p>
      <w:pPr>
        <w:pStyle w:val="Heading1"/>
      </w:pPr>
      <w:r>
        <w:rPr>
          <w:rFonts w:ascii="Arial" w:cs="Arial" w:eastAsia="Arial" w:hAnsi="Arial"/>
        </w:rPr>
        <w:t xml:space="preserve">요약 판정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0" w:sz="1"/>
              <w:left w:val="single" w:color="CBD5E0" w:sz="1"/>
              <w:bottom w:val="single" w:color="CBD5E0" w:sz="1"/>
              <w:right w:val="single" w:color="CBD5E0" w:sz="1"/>
            </w:tcBorders>
            <w:shd w:fill="1A365D" w:val="clear"/>
          </w:tcPr>
          <w:p>
            <w:r>
              <w:rPr>
                <w:rFonts w:ascii="Arial" w:cs="Arial" w:eastAsia="Arial" w:hAnsi="Arial"/>
                <w:b/>
                <w:bCs/>
                <w:color w:val="FFFFFF"/>
                <w:sz w:val="20"/>
                <w:szCs w:val="20"/>
              </w:rPr>
              <w:t xml:space="preserve">착수 판단</w:t>
            </w:r>
          </w:p>
        </w:tc>
        <w:tc>
          <w:tcPr>
            <w:tcW w:type="dxa" w:w="6240"/>
            <w:tcBorders>
              <w:top w:val="single" w:color="CBD5E0" w:sz="1"/>
              <w:left w:val="single" w:color="CBD5E0" w:sz="1"/>
              <w:bottom w:val="single" w:color="CBD5E0" w:sz="1"/>
              <w:right w:val="single" w:color="CBD5E0" w:sz="1"/>
            </w:tcBorders>
            <w:shd w:fill="FFF3CD" w:val="clear"/>
          </w:tcPr>
          <w:p>
            <w:r>
              <w:rPr>
                <w:rFonts w:ascii="Arial" w:cs="Arial" w:eastAsia="Arial" w:hAnsi="Arial"/>
                <w:b/>
                <w:bCs/>
                <w:color w:val="E67E22"/>
                <w:sz w:val="22"/>
                <w:szCs w:val="22"/>
              </w:rPr>
              <w:t xml:space="preserve">Conditional (Ready with conditions)</w:t>
            </w:r>
          </w:p>
        </w:tc>
      </w:tr>
      <w:tr>
        <w:tc>
          <w:tcPr>
            <w:tcW w:type="dxa" w:w="3120"/>
            <w:tcBorders>
              <w:top w:val="single" w:color="CBD5E0" w:sz="1"/>
              <w:left w:val="single" w:color="CBD5E0" w:sz="1"/>
              <w:bottom w:val="single" w:color="CBD5E0" w:sz="1"/>
              <w:right w:val="single" w:color="CBD5E0" w:sz="1"/>
            </w:tcBorders>
          </w:tcPr>
          <w:p>
            <w:r>
              <w:rPr>
                <w:rFonts w:ascii="Arial" w:cs="Arial" w:eastAsia="Arial" w:hAnsi="Arial"/>
                <w:b/>
                <w:bCs/>
                <w:color w:val="C0392B"/>
                <w:sz w:val="20"/>
                <w:szCs w:val="20"/>
              </w:rPr>
              <w:t xml:space="preserve">Critical 이슈</w:t>
            </w:r>
          </w:p>
        </w:tc>
        <w:tc>
          <w:tcPr>
            <w:tcW w:type="dxa" w:w="6240"/>
            <w:tcBorders>
              <w:top w:val="single" w:color="CBD5E0" w:sz="1"/>
              <w:left w:val="single" w:color="CBD5E0" w:sz="1"/>
              <w:bottom w:val="single" w:color="CBD5E0" w:sz="1"/>
              <w:right w:val="single" w:color="CBD5E0" w:sz="1"/>
            </w:tcBorders>
          </w:tcPr>
          <w:p>
            <w:r>
              <w:rPr>
                <w:rFonts w:ascii="Arial" w:cs="Arial" w:eastAsia="Arial" w:hAnsi="Arial"/>
                <w:color w:val="2D3748"/>
                <w:sz w:val="20"/>
                <w:szCs w:val="20"/>
              </w:rPr>
              <w:t xml:space="preserve">3건 — 착수 전 반드시 해결 필요</w:t>
            </w:r>
          </w:p>
        </w:tc>
      </w:tr>
      <w:tr>
        <w:tc>
          <w:tcPr>
            <w:tcW w:type="dxa" w:w="3120"/>
            <w:tcBorders>
              <w:top w:val="single" w:color="CBD5E0" w:sz="1"/>
              <w:left w:val="single" w:color="CBD5E0" w:sz="1"/>
              <w:bottom w:val="single" w:color="CBD5E0" w:sz="1"/>
              <w:right w:val="single" w:color="CBD5E0" w:sz="1"/>
            </w:tcBorders>
          </w:tcPr>
          <w:p>
            <w:r>
              <w:rPr>
                <w:rFonts w:ascii="Arial" w:cs="Arial" w:eastAsia="Arial" w:hAnsi="Arial"/>
                <w:b/>
                <w:bCs/>
                <w:color w:val="E67E22"/>
                <w:sz w:val="20"/>
                <w:szCs w:val="20"/>
              </w:rPr>
              <w:t xml:space="preserve">High 이슈</w:t>
            </w:r>
          </w:p>
        </w:tc>
        <w:tc>
          <w:tcPr>
            <w:tcW w:type="dxa" w:w="6240"/>
            <w:tcBorders>
              <w:top w:val="single" w:color="CBD5E0" w:sz="1"/>
              <w:left w:val="single" w:color="CBD5E0" w:sz="1"/>
              <w:bottom w:val="single" w:color="CBD5E0" w:sz="1"/>
              <w:right w:val="single" w:color="CBD5E0" w:sz="1"/>
            </w:tcBorders>
          </w:tcPr>
          <w:p>
            <w:r>
              <w:rPr>
                <w:rFonts w:ascii="Arial" w:cs="Arial" w:eastAsia="Arial" w:hAnsi="Arial"/>
                <w:color w:val="2D3748"/>
                <w:sz w:val="20"/>
                <w:szCs w:val="20"/>
              </w:rPr>
              <w:t xml:space="preserve">5건 — Sprint 1 내 해결 권고</w:t>
            </w:r>
          </w:p>
        </w:tc>
      </w:tr>
      <w:tr>
        <w:tc>
          <w:tcPr>
            <w:tcW w:type="dxa" w:w="3120"/>
            <w:tcBorders>
              <w:top w:val="single" w:color="CBD5E0" w:sz="1"/>
              <w:left w:val="single" w:color="CBD5E0" w:sz="1"/>
              <w:bottom w:val="single" w:color="CBD5E0" w:sz="1"/>
              <w:right w:val="single" w:color="CBD5E0" w:sz="1"/>
            </w:tcBorders>
          </w:tcPr>
          <w:p>
            <w:r>
              <w:rPr>
                <w:rFonts w:ascii="Arial" w:cs="Arial" w:eastAsia="Arial" w:hAnsi="Arial"/>
                <w:b/>
                <w:bCs/>
                <w:color w:val="F39C12"/>
                <w:sz w:val="20"/>
                <w:szCs w:val="20"/>
              </w:rPr>
              <w:t xml:space="preserve">Medium / Low 이슈</w:t>
            </w:r>
          </w:p>
        </w:tc>
        <w:tc>
          <w:tcPr>
            <w:tcW w:type="dxa" w:w="6240"/>
            <w:tcBorders>
              <w:top w:val="single" w:color="CBD5E0" w:sz="1"/>
              <w:left w:val="single" w:color="CBD5E0" w:sz="1"/>
              <w:bottom w:val="single" w:color="CBD5E0" w:sz="1"/>
              <w:right w:val="single" w:color="CBD5E0" w:sz="1"/>
            </w:tcBorders>
          </w:tcPr>
          <w:p>
            <w:r>
              <w:rPr>
                <w:rFonts w:ascii="Arial" w:cs="Arial" w:eastAsia="Arial" w:hAnsi="Arial"/>
                <w:color w:val="2D3748"/>
                <w:sz w:val="20"/>
                <w:szCs w:val="20"/>
              </w:rPr>
              <w:t xml:space="preserve">6건 — 점진적 개선 가능</w:t>
            </w:r>
          </w:p>
        </w:tc>
      </w:tr>
    </w:tbl>
    <w:p>
      <w:pPr>
        <w:spacing w:after="100" w:before="200"/>
      </w:pPr>
    </w:p>
    <w:p>
      <w:pPr>
        <w:pStyle w:val="Heading1"/>
      </w:pPr>
      <w:r>
        <w:rPr>
          <w:rFonts w:ascii="Arial" w:cs="Arial" w:eastAsia="Arial" w:hAnsi="Arial"/>
        </w:rPr>
        <w:t xml:space="preserve">1. 구조적 일관성 (Structural Coherence)</w:t>
      </w:r>
    </w:p>
    <w:p>
      <w:pPr>
        <w:pStyle w:val="Heading2"/>
      </w:pPr>
      <w:r>
        <w:rPr>
          <w:rFonts w:ascii="Arial" w:cs="Arial" w:eastAsia="Arial" w:hAnsi="Arial"/>
        </w:rPr>
        <w:t xml:space="preserve">1.1 5축 간 의존 관계 분석</w:t>
      </w:r>
    </w:p>
    <w:p>
      <w:pPr>
        <w:spacing w:after="120"/>
      </w:pPr>
      <w:r>
        <w:rPr>
          <w:rFonts w:ascii="Arial" w:cs="Arial" w:eastAsia="Arial" w:hAnsi="Arial"/>
          <w:color w:val="2D3748"/>
          <w:sz w:val="20"/>
          <w:szCs w:val="20"/>
        </w:rPr>
        <w:t xml:space="preserve">5축(하네스 / SDD Triangle / 에이전트 오케스트레이션 / SSOT / 협업 워크스페이스)은 개념적으로 강력한 프레임워크이지만, 실제 구현 시 다음의 구조적 문제가 예상됩니다: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600"/>
        <w:gridCol w:w="4960"/>
      </w:tblGrid>
      <w:tr>
        <w:tc>
          <w:tcPr>
            <w:tcW w:type="dxa" w:w="600"/>
            <w:tcBorders>
              <w:top w:val="single" w:color="CBD5E0" w:sz="1"/>
              <w:left w:val="single" w:color="CBD5E0" w:sz="1"/>
              <w:bottom w:val="single" w:color="CBD5E0" w:sz="1"/>
              <w:right w:val="single" w:color="CBD5E0" w:sz="1"/>
            </w:tcBorders>
            <w:shd w:fill="1A365D" w:val="clear"/>
          </w:tcPr>
          <w:p>
            <w:r>
              <w:rPr>
                <w:rFonts w:ascii="Arial" w:cs="Arial" w:eastAsia="Arial" w:hAnsi="Arial"/>
                <w:b/>
                <w:bCs/>
                <w:color w:val="FFFFFF"/>
                <w:sz w:val="18"/>
                <w:szCs w:val="18"/>
              </w:rPr>
              <w:t xml:space="preserve">ID</w:t>
            </w:r>
          </w:p>
        </w:tc>
        <w:tc>
          <w:tcPr>
            <w:tcW w:type="dxa" w:w="1200"/>
            <w:tcBorders>
              <w:top w:val="single" w:color="CBD5E0" w:sz="1"/>
              <w:left w:val="single" w:color="CBD5E0" w:sz="1"/>
              <w:bottom w:val="single" w:color="CBD5E0" w:sz="1"/>
              <w:right w:val="single" w:color="CBD5E0" w:sz="1"/>
            </w:tcBorders>
            <w:shd w:fill="1A365D" w:val="clear"/>
          </w:tcPr>
          <w:p>
            <w:r>
              <w:rPr>
                <w:rFonts w:ascii="Arial" w:cs="Arial" w:eastAsia="Arial" w:hAnsi="Arial"/>
                <w:b/>
                <w:bCs/>
                <w:color w:val="FFFFFF"/>
                <w:sz w:val="18"/>
                <w:szCs w:val="18"/>
              </w:rPr>
              <w:t xml:space="preserve">심각도</w:t>
            </w:r>
          </w:p>
        </w:tc>
        <w:tc>
          <w:tcPr>
            <w:tcW w:type="dxa" w:w="2600"/>
            <w:tcBorders>
              <w:top w:val="single" w:color="CBD5E0" w:sz="1"/>
              <w:left w:val="single" w:color="CBD5E0" w:sz="1"/>
              <w:bottom w:val="single" w:color="CBD5E0" w:sz="1"/>
              <w:right w:val="single" w:color="CBD5E0" w:sz="1"/>
            </w:tcBorders>
            <w:shd w:fill="1A365D" w:val="clear"/>
          </w:tcPr>
          <w:p>
            <w:r>
              <w:rPr>
                <w:rFonts w:ascii="Arial" w:cs="Arial" w:eastAsia="Arial" w:hAnsi="Arial"/>
                <w:b/>
                <w:bCs/>
                <w:color w:val="FFFFFF"/>
                <w:sz w:val="18"/>
                <w:szCs w:val="18"/>
              </w:rPr>
              <w:t xml:space="preserve">항목</w:t>
            </w:r>
          </w:p>
        </w:tc>
        <w:tc>
          <w:tcPr>
            <w:tcW w:type="dxa" w:w="4960"/>
            <w:tcBorders>
              <w:top w:val="single" w:color="CBD5E0" w:sz="1"/>
              <w:left w:val="single" w:color="CBD5E0" w:sz="1"/>
              <w:bottom w:val="single" w:color="CBD5E0" w:sz="1"/>
              <w:right w:val="single" w:color="CBD5E0" w:sz="1"/>
            </w:tcBorders>
            <w:shd w:fill="1A365D" w:val="clear"/>
          </w:tcPr>
          <w:p>
            <w:r>
              <w:rPr>
                <w:rFonts w:ascii="Arial" w:cs="Arial" w:eastAsia="Arial" w:hAnsi="Arial"/>
                <w:b/>
                <w:bCs/>
                <w:color w:val="FFFFFF"/>
                <w:sz w:val="18"/>
                <w:szCs w:val="18"/>
              </w:rPr>
              <w:t xml:space="preserve">상세 설명</w:t>
            </w:r>
          </w:p>
        </w:tc>
      </w:tr>
      <w:tr>
        <w:tc>
          <w:tcPr>
            <w:tcW w:type="dxa" w:w="600"/>
            <w:tcBorders>
              <w:top w:val="single" w:color="CBD5E0" w:sz="1"/>
              <w:left w:val="single" w:color="CBD5E0" w:sz="1"/>
              <w:bottom w:val="single" w:color="CBD5E0" w:sz="1"/>
              <w:right w:val="single" w:color="CBD5E0" w:sz="1"/>
            </w:tcBorders>
          </w:tcPr>
          <w:p>
            <w:r>
              <w:rPr>
                <w:rFonts w:ascii="Arial" w:cs="Arial" w:eastAsia="Arial" w:hAnsi="Arial"/>
                <w:b/>
                <w:bCs/>
                <w:color w:val="2B6CB0"/>
                <w:sz w:val="18"/>
                <w:szCs w:val="18"/>
              </w:rPr>
              <w:t xml:space="preserve">S-01</w:t>
            </w:r>
          </w:p>
        </w:tc>
        <w:tc>
          <w:tcPr>
            <w:tcW w:type="dxa" w:w="1200"/>
            <w:tcBorders>
              <w:top w:val="single" w:color="CBD5E0" w:sz="1"/>
              <w:left w:val="single" w:color="CBD5E0" w:sz="1"/>
              <w:bottom w:val="single" w:color="CBD5E0" w:sz="1"/>
              <w:right w:val="single" w:color="CBD5E0" w:sz="1"/>
            </w:tcBorders>
            <w:shd w:fill="F5F6FA" w:val="clear"/>
          </w:tcPr>
          <w:p>
            <w:r>
              <w:rPr>
                <w:rFonts w:ascii="Arial" w:cs="Arial" w:eastAsia="Arial" w:hAnsi="Arial"/>
                <w:b/>
                <w:bCs/>
                <w:color w:val="C0392B"/>
                <w:sz w:val="20"/>
                <w:szCs w:val="20"/>
              </w:rPr>
              <w:t xml:space="preserve">[Critical]</w:t>
            </w:r>
          </w:p>
        </w:tc>
        <w:tc>
          <w:tcPr>
            <w:tcW w:type="dxa" w:w="2600"/>
            <w:tcBorders>
              <w:top w:val="single" w:color="CBD5E0" w:sz="1"/>
              <w:left w:val="single" w:color="CBD5E0" w:sz="1"/>
              <w:bottom w:val="single" w:color="CBD5E0" w:sz="1"/>
              <w:right w:val="single" w:color="CBD5E0" w:sz="1"/>
            </w:tcBorders>
          </w:tcPr>
          <w:p>
            <w:r>
              <w:rPr>
                <w:rFonts w:ascii="Arial" w:cs="Arial" w:eastAsia="Arial" w:hAnsi="Arial"/>
                <w:b/>
                <w:bCs/>
                <w:color w:val="2D3748"/>
                <w:sz w:val="18"/>
                <w:szCs w:val="18"/>
              </w:rPr>
              <w:t xml:space="preserve">SDD Engine ↔ API Server 통신 계약 부재</w:t>
            </w:r>
          </w:p>
        </w:tc>
        <w:tc>
          <w:tcPr>
            <w:tcW w:type="dxa" w:w="4960"/>
            <w:tcBorders>
              <w:top w:val="single" w:color="CBD5E0" w:sz="1"/>
              <w:left w:val="single" w:color="CBD5E0" w:sz="1"/>
              <w:bottom w:val="single" w:color="CBD5E0" w:sz="1"/>
              <w:right w:val="single" w:color="CBD5E0" w:sz="1"/>
            </w:tcBorders>
          </w:tcPr>
          <w:p>
            <w:r>
              <w:rPr>
                <w:rFonts w:ascii="Arial" w:cs="Arial" w:eastAsia="Arial" w:hAnsi="Arial"/>
                <w:color w:val="2D3748"/>
                <w:sz w:val="18"/>
                <w:szCs w:val="18"/>
              </w:rPr>
              <w:t xml:space="preserve">SDD Engine은 Python(Plumb), API Server는 TypeScript(Hono)로 이기종 스택입니다. 두 시스템 간 통신 계약(API 스키마, 오류 포맷, 버전 관리)이 PRD에서 명시적으로 정의되어 있는지 확인이 필요합니다. OpenAPI/gRPC 같은 IDL(Interface Definition Language) 기반 계약이 없으면 런타임 타입 불일치가 발생합니다.</w:t>
            </w:r>
          </w:p>
        </w:tc>
      </w:tr>
      <w:tr>
        <w:tc>
          <w:tcPr>
            <w:tcW w:type="dxa" w:w="600"/>
            <w:tcBorders>
              <w:top w:val="single" w:color="CBD5E0" w:sz="1"/>
              <w:left w:val="single" w:color="CBD5E0" w:sz="1"/>
              <w:bottom w:val="single" w:color="CBD5E0" w:sz="1"/>
              <w:right w:val="single" w:color="CBD5E0" w:sz="1"/>
            </w:tcBorders>
          </w:tcPr>
          <w:p>
            <w:r>
              <w:rPr>
                <w:rFonts w:ascii="Arial" w:cs="Arial" w:eastAsia="Arial" w:hAnsi="Arial"/>
                <w:b/>
                <w:bCs/>
                <w:color w:val="2B6CB0"/>
                <w:sz w:val="18"/>
                <w:szCs w:val="18"/>
              </w:rPr>
              <w:t xml:space="preserve">S-02</w:t>
            </w:r>
          </w:p>
        </w:tc>
        <w:tc>
          <w:tcPr>
            <w:tcW w:type="dxa" w:w="1200"/>
            <w:tcBorders>
              <w:top w:val="single" w:color="CBD5E0" w:sz="1"/>
              <w:left w:val="single" w:color="CBD5E0" w:sz="1"/>
              <w:bottom w:val="single" w:color="CBD5E0" w:sz="1"/>
              <w:right w:val="single" w:color="CBD5E0" w:sz="1"/>
            </w:tcBorders>
            <w:shd w:fill="F5F6FA" w:val="clear"/>
          </w:tcPr>
          <w:p>
            <w:r>
              <w:rPr>
                <w:rFonts w:ascii="Arial" w:cs="Arial" w:eastAsia="Arial" w:hAnsi="Arial"/>
                <w:b/>
                <w:bCs/>
                <w:color w:val="E67E22"/>
                <w:sz w:val="20"/>
                <w:szCs w:val="20"/>
              </w:rPr>
              <w:t xml:space="preserve">[High]</w:t>
            </w:r>
          </w:p>
        </w:tc>
        <w:tc>
          <w:tcPr>
            <w:tcW w:type="dxa" w:w="2600"/>
            <w:tcBorders>
              <w:top w:val="single" w:color="CBD5E0" w:sz="1"/>
              <w:left w:val="single" w:color="CBD5E0" w:sz="1"/>
              <w:bottom w:val="single" w:color="CBD5E0" w:sz="1"/>
              <w:right w:val="single" w:color="CBD5E0" w:sz="1"/>
            </w:tcBorders>
          </w:tcPr>
          <w:p>
            <w:r>
              <w:rPr>
                <w:rFonts w:ascii="Arial" w:cs="Arial" w:eastAsia="Arial" w:hAnsi="Arial"/>
                <w:b/>
                <w:bCs/>
                <w:color w:val="2D3748"/>
                <w:sz w:val="18"/>
                <w:szCs w:val="18"/>
              </w:rPr>
              <w:t xml:space="preserve">5축 간 순환 의존 위험</w:t>
            </w:r>
          </w:p>
        </w:tc>
        <w:tc>
          <w:tcPr>
            <w:tcW w:type="dxa" w:w="4960"/>
            <w:tcBorders>
              <w:top w:val="single" w:color="CBD5E0" w:sz="1"/>
              <w:left w:val="single" w:color="CBD5E0" w:sz="1"/>
              <w:bottom w:val="single" w:color="CBD5E0" w:sz="1"/>
              <w:right w:val="single" w:color="CBD5E0" w:sz="1"/>
            </w:tcBorders>
          </w:tcPr>
          <w:p>
            <w:r>
              <w:rPr>
                <w:rFonts w:ascii="Arial" w:cs="Arial" w:eastAsia="Arial" w:hAnsi="Arial"/>
                <w:color w:val="2D3748"/>
                <w:sz w:val="18"/>
                <w:szCs w:val="18"/>
              </w:rPr>
              <w:t xml:space="preserve">하네스(harness)가 SDD Triangle을 호출하고, SDD가 에이전트 오케스트레이션을 트리거하며, 오케스트레이션이 SSOT에 기록하고, SSOT 변경이 다시 하네스를 트리거하는 흐름에서 순환 의존이 발생할 수 있습니다. 이벤트 버스를 통한 비동기 분리 또는 DAG 기반 플로우 제약이 필요합니다.</w:t>
            </w:r>
          </w:p>
        </w:tc>
      </w:tr>
      <w:tr>
        <w:tc>
          <w:tcPr>
            <w:tcW w:type="dxa" w:w="600"/>
            <w:tcBorders>
              <w:top w:val="single" w:color="CBD5E0" w:sz="1"/>
              <w:left w:val="single" w:color="CBD5E0" w:sz="1"/>
              <w:bottom w:val="single" w:color="CBD5E0" w:sz="1"/>
              <w:right w:val="single" w:color="CBD5E0" w:sz="1"/>
            </w:tcBorders>
          </w:tcPr>
          <w:p>
            <w:r>
              <w:rPr>
                <w:rFonts w:ascii="Arial" w:cs="Arial" w:eastAsia="Arial" w:hAnsi="Arial"/>
                <w:b/>
                <w:bCs/>
                <w:color w:val="2B6CB0"/>
                <w:sz w:val="18"/>
                <w:szCs w:val="18"/>
              </w:rPr>
              <w:t xml:space="preserve">S-03</w:t>
            </w:r>
          </w:p>
        </w:tc>
        <w:tc>
          <w:tcPr>
            <w:tcW w:type="dxa" w:w="1200"/>
            <w:tcBorders>
              <w:top w:val="single" w:color="CBD5E0" w:sz="1"/>
              <w:left w:val="single" w:color="CBD5E0" w:sz="1"/>
              <w:bottom w:val="single" w:color="CBD5E0" w:sz="1"/>
              <w:right w:val="single" w:color="CBD5E0" w:sz="1"/>
            </w:tcBorders>
            <w:shd w:fill="F5F6FA" w:val="clear"/>
          </w:tcPr>
          <w:p>
            <w:r>
              <w:rPr>
                <w:rFonts w:ascii="Arial" w:cs="Arial" w:eastAsia="Arial" w:hAnsi="Arial"/>
                <w:b/>
                <w:bCs/>
                <w:color w:val="E67E22"/>
                <w:sz w:val="20"/>
                <w:szCs w:val="20"/>
              </w:rPr>
              <w:t xml:space="preserve">[High]</w:t>
            </w:r>
          </w:p>
        </w:tc>
        <w:tc>
          <w:tcPr>
            <w:tcW w:type="dxa" w:w="2600"/>
            <w:tcBorders>
              <w:top w:val="single" w:color="CBD5E0" w:sz="1"/>
              <w:left w:val="single" w:color="CBD5E0" w:sz="1"/>
              <w:bottom w:val="single" w:color="CBD5E0" w:sz="1"/>
              <w:right w:val="single" w:color="CBD5E0" w:sz="1"/>
            </w:tcBorders>
          </w:tcPr>
          <w:p>
            <w:r>
              <w:rPr>
                <w:rFonts w:ascii="Arial" w:cs="Arial" w:eastAsia="Arial" w:hAnsi="Arial"/>
                <w:b/>
                <w:bCs/>
                <w:color w:val="2D3748"/>
                <w:sz w:val="18"/>
                <w:szCs w:val="18"/>
              </w:rPr>
              <w:t xml:space="preserve">Git SSOT와 PostgreSQL 메타데이터 간 정합성</w:t>
            </w:r>
          </w:p>
        </w:tc>
        <w:tc>
          <w:tcPr>
            <w:tcW w:type="dxa" w:w="4960"/>
            <w:tcBorders>
              <w:top w:val="single" w:color="CBD5E0" w:sz="1"/>
              <w:left w:val="single" w:color="CBD5E0" w:sz="1"/>
              <w:bottom w:val="single" w:color="CBD5E0" w:sz="1"/>
              <w:right w:val="single" w:color="CBD5E0" w:sz="1"/>
            </w:tcBorders>
          </w:tcPr>
          <w:p>
            <w:r>
              <w:rPr>
                <w:rFonts w:ascii="Arial" w:cs="Arial" w:eastAsia="Arial" w:hAnsi="Arial"/>
                <w:color w:val="2D3748"/>
                <w:sz w:val="18"/>
                <w:szCs w:val="18"/>
              </w:rPr>
              <w:t xml:space="preserve">Git이 SSOT인데 PostgreSQL에 메타데이터를 별도 저장하면, 두 저장소 간 정합성 보장 메커니즘이 필요합니다. Git push 후 DB 업데이트 실패 시 데이터 불일치가 발생하며, 이를 복구하는 reconciliation 전략이 명시되어야 합니다.</w:t>
            </w:r>
          </w:p>
        </w:tc>
      </w:tr>
      <w:tr>
        <w:tc>
          <w:tcPr>
            <w:tcW w:type="dxa" w:w="600"/>
            <w:tcBorders>
              <w:top w:val="single" w:color="CBD5E0" w:sz="1"/>
              <w:left w:val="single" w:color="CBD5E0" w:sz="1"/>
              <w:bottom w:val="single" w:color="CBD5E0" w:sz="1"/>
              <w:right w:val="single" w:color="CBD5E0" w:sz="1"/>
            </w:tcBorders>
          </w:tcPr>
          <w:p>
            <w:r>
              <w:rPr>
                <w:rFonts w:ascii="Arial" w:cs="Arial" w:eastAsia="Arial" w:hAnsi="Arial"/>
                <w:b/>
                <w:bCs/>
                <w:color w:val="2B6CB0"/>
                <w:sz w:val="18"/>
                <w:szCs w:val="18"/>
              </w:rPr>
              <w:t xml:space="preserve">S-04</w:t>
            </w:r>
          </w:p>
        </w:tc>
        <w:tc>
          <w:tcPr>
            <w:tcW w:type="dxa" w:w="1200"/>
            <w:tcBorders>
              <w:top w:val="single" w:color="CBD5E0" w:sz="1"/>
              <w:left w:val="single" w:color="CBD5E0" w:sz="1"/>
              <w:bottom w:val="single" w:color="CBD5E0" w:sz="1"/>
              <w:right w:val="single" w:color="CBD5E0" w:sz="1"/>
            </w:tcBorders>
            <w:shd w:fill="F5F6FA" w:val="clear"/>
          </w:tcPr>
          <w:p>
            <w:r>
              <w:rPr>
                <w:rFonts w:ascii="Arial" w:cs="Arial" w:eastAsia="Arial" w:hAnsi="Arial"/>
                <w:b/>
                <w:bCs/>
                <w:color w:val="F39C12"/>
                <w:sz w:val="20"/>
                <w:szCs w:val="20"/>
              </w:rPr>
              <w:t xml:space="preserve">[Medium]</w:t>
            </w:r>
          </w:p>
        </w:tc>
        <w:tc>
          <w:tcPr>
            <w:tcW w:type="dxa" w:w="2600"/>
            <w:tcBorders>
              <w:top w:val="single" w:color="CBD5E0" w:sz="1"/>
              <w:left w:val="single" w:color="CBD5E0" w:sz="1"/>
              <w:bottom w:val="single" w:color="CBD5E0" w:sz="1"/>
              <w:right w:val="single" w:color="CBD5E0" w:sz="1"/>
            </w:tcBorders>
          </w:tcPr>
          <w:p>
            <w:r>
              <w:rPr>
                <w:rFonts w:ascii="Arial" w:cs="Arial" w:eastAsia="Arial" w:hAnsi="Arial"/>
                <w:b/>
                <w:bCs/>
                <w:color w:val="2D3748"/>
                <w:sz w:val="18"/>
                <w:szCs w:val="18"/>
              </w:rPr>
              <w:t xml:space="preserve">멀티리포 6개 간 버전 정합</w:t>
            </w:r>
          </w:p>
        </w:tc>
        <w:tc>
          <w:tcPr>
            <w:tcW w:type="dxa" w:w="4960"/>
            <w:tcBorders>
              <w:top w:val="single" w:color="CBD5E0" w:sz="1"/>
              <w:left w:val="single" w:color="CBD5E0" w:sz="1"/>
              <w:bottom w:val="single" w:color="CBD5E0" w:sz="1"/>
              <w:right w:val="single" w:color="CBD5E0" w:sz="1"/>
            </w:tcBorders>
          </w:tcPr>
          <w:p>
            <w:r>
              <w:rPr>
                <w:rFonts w:ascii="Arial" w:cs="Arial" w:eastAsia="Arial" w:hAnsi="Arial"/>
                <w:color w:val="2D3748"/>
                <w:sz w:val="18"/>
                <w:szCs w:val="18"/>
              </w:rPr>
              <w:t xml:space="preserve">CLI/API/Web/SDD Engine/Docs/Templates 6개 리포가 독립적으로 버전닝되면, 리포 간 호환성 매트릭스가 폭발적으로 증가합니다. API 계약 버전 관리(semantic versioning + compatibility matrix) 전략이 필요합니다.</w:t>
            </w:r>
          </w:p>
        </w:tc>
      </w:tr>
    </w:tbl>
    <w:p>
      <w:pPr>
        <w:spacing w:after="100" w:before="200"/>
      </w:pPr>
    </w:p>
    <w:p>
      <w:pPr>
        <w:pStyle w:val="Heading1"/>
      </w:pPr>
      <w:r>
        <w:rPr>
          <w:rFonts w:ascii="Arial" w:cs="Arial" w:eastAsia="Arial" w:hAnsi="Arial"/>
        </w:rPr>
        <w:t xml:space="preserve">2. 엣지 케이스 (Edge Cases)</w:t>
      </w:r>
    </w:p>
    <w:p>
      <w:pPr>
        <w:pStyle w:val="Heading2"/>
      </w:pPr>
      <w:r>
        <w:rPr>
          <w:rFonts w:ascii="Arial" w:cs="Arial" w:eastAsia="Arial" w:hAnsi="Arial"/>
        </w:rPr>
        <w:t xml:space="preserve">2.1 에이전트 동시 파일 수정 충돌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600"/>
        <w:gridCol w:w="4960"/>
      </w:tblGrid>
      <w:tr>
        <w:tc>
          <w:tcPr>
            <w:tcW w:type="dxa" w:w="600"/>
            <w:tcBorders>
              <w:top w:val="single" w:color="CBD5E0" w:sz="1"/>
              <w:left w:val="single" w:color="CBD5E0" w:sz="1"/>
              <w:bottom w:val="single" w:color="CBD5E0" w:sz="1"/>
              <w:right w:val="single" w:color="CBD5E0" w:sz="1"/>
            </w:tcBorders>
            <w:shd w:fill="1A365D" w:val="clear"/>
          </w:tcPr>
          <w:p>
            <w:r>
              <w:rPr>
                <w:rFonts w:ascii="Arial" w:cs="Arial" w:eastAsia="Arial" w:hAnsi="Arial"/>
                <w:b/>
                <w:bCs/>
                <w:color w:val="FFFFFF"/>
                <w:sz w:val="18"/>
                <w:szCs w:val="18"/>
              </w:rPr>
              <w:t xml:space="preserve">ID</w:t>
            </w:r>
          </w:p>
        </w:tc>
        <w:tc>
          <w:tcPr>
            <w:tcW w:type="dxa" w:w="1200"/>
            <w:tcBorders>
              <w:top w:val="single" w:color="CBD5E0" w:sz="1"/>
              <w:left w:val="single" w:color="CBD5E0" w:sz="1"/>
              <w:bottom w:val="single" w:color="CBD5E0" w:sz="1"/>
              <w:right w:val="single" w:color="CBD5E0" w:sz="1"/>
            </w:tcBorders>
            <w:shd w:fill="1A365D" w:val="clear"/>
          </w:tcPr>
          <w:p>
            <w:r>
              <w:rPr>
                <w:rFonts w:ascii="Arial" w:cs="Arial" w:eastAsia="Arial" w:hAnsi="Arial"/>
                <w:b/>
                <w:bCs/>
                <w:color w:val="FFFFFF"/>
                <w:sz w:val="18"/>
                <w:szCs w:val="18"/>
              </w:rPr>
              <w:t xml:space="preserve">심각도</w:t>
            </w:r>
          </w:p>
        </w:tc>
        <w:tc>
          <w:tcPr>
            <w:tcW w:type="dxa" w:w="2600"/>
            <w:tcBorders>
              <w:top w:val="single" w:color="CBD5E0" w:sz="1"/>
              <w:left w:val="single" w:color="CBD5E0" w:sz="1"/>
              <w:bottom w:val="single" w:color="CBD5E0" w:sz="1"/>
              <w:right w:val="single" w:color="CBD5E0" w:sz="1"/>
            </w:tcBorders>
            <w:shd w:fill="1A365D" w:val="clear"/>
          </w:tcPr>
          <w:p>
            <w:r>
              <w:rPr>
                <w:rFonts w:ascii="Arial" w:cs="Arial" w:eastAsia="Arial" w:hAnsi="Arial"/>
                <w:b/>
                <w:bCs/>
                <w:color w:val="FFFFFF"/>
                <w:sz w:val="18"/>
                <w:szCs w:val="18"/>
              </w:rPr>
              <w:t xml:space="preserve">항목</w:t>
            </w:r>
          </w:p>
        </w:tc>
        <w:tc>
          <w:tcPr>
            <w:tcW w:type="dxa" w:w="4960"/>
            <w:tcBorders>
              <w:top w:val="single" w:color="CBD5E0" w:sz="1"/>
              <w:left w:val="single" w:color="CBD5E0" w:sz="1"/>
              <w:bottom w:val="single" w:color="CBD5E0" w:sz="1"/>
              <w:right w:val="single" w:color="CBD5E0" w:sz="1"/>
            </w:tcBorders>
            <w:shd w:fill="1A365D" w:val="clear"/>
          </w:tcPr>
          <w:p>
            <w:r>
              <w:rPr>
                <w:rFonts w:ascii="Arial" w:cs="Arial" w:eastAsia="Arial" w:hAnsi="Arial"/>
                <w:b/>
                <w:bCs/>
                <w:color w:val="FFFFFF"/>
                <w:sz w:val="18"/>
                <w:szCs w:val="18"/>
              </w:rPr>
              <w:t xml:space="preserve">상세 설명</w:t>
            </w:r>
          </w:p>
        </w:tc>
      </w:tr>
      <w:tr>
        <w:tc>
          <w:tcPr>
            <w:tcW w:type="dxa" w:w="600"/>
            <w:tcBorders>
              <w:top w:val="single" w:color="CBD5E0" w:sz="1"/>
              <w:left w:val="single" w:color="CBD5E0" w:sz="1"/>
              <w:bottom w:val="single" w:color="CBD5E0" w:sz="1"/>
              <w:right w:val="single" w:color="CBD5E0" w:sz="1"/>
            </w:tcBorders>
          </w:tcPr>
          <w:p>
            <w:r>
              <w:rPr>
                <w:rFonts w:ascii="Arial" w:cs="Arial" w:eastAsia="Arial" w:hAnsi="Arial"/>
                <w:b/>
                <w:bCs/>
                <w:color w:val="2B6CB0"/>
                <w:sz w:val="18"/>
                <w:szCs w:val="18"/>
              </w:rPr>
              <w:t xml:space="preserve">E-01</w:t>
            </w:r>
          </w:p>
        </w:tc>
        <w:tc>
          <w:tcPr>
            <w:tcW w:type="dxa" w:w="1200"/>
            <w:tcBorders>
              <w:top w:val="single" w:color="CBD5E0" w:sz="1"/>
              <w:left w:val="single" w:color="CBD5E0" w:sz="1"/>
              <w:bottom w:val="single" w:color="CBD5E0" w:sz="1"/>
              <w:right w:val="single" w:color="CBD5E0" w:sz="1"/>
            </w:tcBorders>
            <w:shd w:fill="F5F6FA" w:val="clear"/>
          </w:tcPr>
          <w:p>
            <w:r>
              <w:rPr>
                <w:rFonts w:ascii="Arial" w:cs="Arial" w:eastAsia="Arial" w:hAnsi="Arial"/>
                <w:b/>
                <w:bCs/>
                <w:color w:val="C0392B"/>
                <w:sz w:val="20"/>
                <w:szCs w:val="20"/>
              </w:rPr>
              <w:t xml:space="preserve">[Critical]</w:t>
            </w:r>
          </w:p>
        </w:tc>
        <w:tc>
          <w:tcPr>
            <w:tcW w:type="dxa" w:w="2600"/>
            <w:tcBorders>
              <w:top w:val="single" w:color="CBD5E0" w:sz="1"/>
              <w:left w:val="single" w:color="CBD5E0" w:sz="1"/>
              <w:bottom w:val="single" w:color="CBD5E0" w:sz="1"/>
              <w:right w:val="single" w:color="CBD5E0" w:sz="1"/>
            </w:tcBorders>
          </w:tcPr>
          <w:p>
            <w:r>
              <w:rPr>
                <w:rFonts w:ascii="Arial" w:cs="Arial" w:eastAsia="Arial" w:hAnsi="Arial"/>
                <w:b/>
                <w:bCs/>
                <w:color w:val="2D3748"/>
                <w:sz w:val="18"/>
                <w:szCs w:val="18"/>
              </w:rPr>
              <w:t xml:space="preserve">에이전트 간 Git 충돌 해결 전략 부재</w:t>
            </w:r>
          </w:p>
        </w:tc>
        <w:tc>
          <w:tcPr>
            <w:tcW w:type="dxa" w:w="4960"/>
            <w:tcBorders>
              <w:top w:val="single" w:color="CBD5E0" w:sz="1"/>
              <w:left w:val="single" w:color="CBD5E0" w:sz="1"/>
              <w:bottom w:val="single" w:color="CBD5E0" w:sz="1"/>
              <w:right w:val="single" w:color="CBD5E0" w:sz="1"/>
            </w:tcBorders>
          </w:tcPr>
          <w:p>
            <w:r>
              <w:rPr>
                <w:rFonts w:ascii="Arial" w:cs="Arial" w:eastAsia="Arial" w:hAnsi="Arial"/>
                <w:color w:val="2D3748"/>
                <w:sz w:val="18"/>
                <w:szCs w:val="18"/>
              </w:rPr>
              <w:t xml:space="preserve">복수 에이전트가 동시에 같은 파일을 수정할 때의 충돌 해결 전략이 핵심입니다. 선택지: (a) 파일 레벨 락(pessimistic) → 동시성 저하, (b) 브랜치 기반 병합(optimistic) → 병합 비용 증가, (c) Operational Transform / CRDT → 구현 복잡성. PRD에서 명확한 선택과 trade-off 분석이 필요합니다.</w:t>
            </w:r>
          </w:p>
        </w:tc>
      </w:tr>
      <w:tr>
        <w:tc>
          <w:tcPr>
            <w:tcW w:type="dxa" w:w="600"/>
            <w:tcBorders>
              <w:top w:val="single" w:color="CBD5E0" w:sz="1"/>
              <w:left w:val="single" w:color="CBD5E0" w:sz="1"/>
              <w:bottom w:val="single" w:color="CBD5E0" w:sz="1"/>
              <w:right w:val="single" w:color="CBD5E0" w:sz="1"/>
            </w:tcBorders>
          </w:tcPr>
          <w:p>
            <w:r>
              <w:rPr>
                <w:rFonts w:ascii="Arial" w:cs="Arial" w:eastAsia="Arial" w:hAnsi="Arial"/>
                <w:b/>
                <w:bCs/>
                <w:color w:val="2B6CB0"/>
                <w:sz w:val="18"/>
                <w:szCs w:val="18"/>
              </w:rPr>
              <w:t xml:space="preserve">E-02</w:t>
            </w:r>
          </w:p>
        </w:tc>
        <w:tc>
          <w:tcPr>
            <w:tcW w:type="dxa" w:w="1200"/>
            <w:tcBorders>
              <w:top w:val="single" w:color="CBD5E0" w:sz="1"/>
              <w:left w:val="single" w:color="CBD5E0" w:sz="1"/>
              <w:bottom w:val="single" w:color="CBD5E0" w:sz="1"/>
              <w:right w:val="single" w:color="CBD5E0" w:sz="1"/>
            </w:tcBorders>
            <w:shd w:fill="F5F6FA" w:val="clear"/>
          </w:tcPr>
          <w:p>
            <w:r>
              <w:rPr>
                <w:rFonts w:ascii="Arial" w:cs="Arial" w:eastAsia="Arial" w:hAnsi="Arial"/>
                <w:b/>
                <w:bCs/>
                <w:color w:val="E67E22"/>
                <w:sz w:val="20"/>
                <w:szCs w:val="20"/>
              </w:rPr>
              <w:t xml:space="preserve">[High]</w:t>
            </w:r>
          </w:p>
        </w:tc>
        <w:tc>
          <w:tcPr>
            <w:tcW w:type="dxa" w:w="2600"/>
            <w:tcBorders>
              <w:top w:val="single" w:color="CBD5E0" w:sz="1"/>
              <w:left w:val="single" w:color="CBD5E0" w:sz="1"/>
              <w:bottom w:val="single" w:color="CBD5E0" w:sz="1"/>
              <w:right w:val="single" w:color="CBD5E0" w:sz="1"/>
            </w:tcBorders>
          </w:tcPr>
          <w:p>
            <w:r>
              <w:rPr>
                <w:rFonts w:ascii="Arial" w:cs="Arial" w:eastAsia="Arial" w:hAnsi="Arial"/>
                <w:b/>
                <w:bCs/>
                <w:color w:val="2D3748"/>
                <w:sz w:val="18"/>
                <w:szCs w:val="18"/>
              </w:rPr>
              <w:t xml:space="preserve">Git Hook 실패 시 에이전트 작업 중단</w:t>
            </w:r>
          </w:p>
        </w:tc>
        <w:tc>
          <w:tcPr>
            <w:tcW w:type="dxa" w:w="4960"/>
            <w:tcBorders>
              <w:top w:val="single" w:color="CBD5E0" w:sz="1"/>
              <w:left w:val="single" w:color="CBD5E0" w:sz="1"/>
              <w:bottom w:val="single" w:color="CBD5E0" w:sz="1"/>
              <w:right w:val="single" w:color="CBD5E0" w:sz="1"/>
            </w:tcBorders>
          </w:tcPr>
          <w:p>
            <w:r>
              <w:rPr>
                <w:rFonts w:ascii="Arial" w:cs="Arial" w:eastAsia="Arial" w:hAnsi="Arial"/>
                <w:color w:val="2D3748"/>
                <w:sz w:val="18"/>
                <w:szCs w:val="18"/>
              </w:rPr>
              <w:t xml:space="preserve">Git hook이 커밋을 차단하면 에이전트 작업 흐름이 중단됩니다. 에이전트는 hook 실패 사유를 이해하고 자동 복구할 수 있어야 하며, 최대 재시도 횟수와 fallback 전략(human escalation)이 정의되어야 합니다.</w:t>
            </w:r>
          </w:p>
        </w:tc>
      </w:tr>
      <w:tr>
        <w:tc>
          <w:tcPr>
            <w:tcW w:type="dxa" w:w="600"/>
            <w:tcBorders>
              <w:top w:val="single" w:color="CBD5E0" w:sz="1"/>
              <w:left w:val="single" w:color="CBD5E0" w:sz="1"/>
              <w:bottom w:val="single" w:color="CBD5E0" w:sz="1"/>
              <w:right w:val="single" w:color="CBD5E0" w:sz="1"/>
            </w:tcBorders>
          </w:tcPr>
          <w:p>
            <w:r>
              <w:rPr>
                <w:rFonts w:ascii="Arial" w:cs="Arial" w:eastAsia="Arial" w:hAnsi="Arial"/>
                <w:b/>
                <w:bCs/>
                <w:color w:val="2B6CB0"/>
                <w:sz w:val="18"/>
                <w:szCs w:val="18"/>
              </w:rPr>
              <w:t xml:space="preserve">E-03</w:t>
            </w:r>
          </w:p>
        </w:tc>
        <w:tc>
          <w:tcPr>
            <w:tcW w:type="dxa" w:w="1200"/>
            <w:tcBorders>
              <w:top w:val="single" w:color="CBD5E0" w:sz="1"/>
              <w:left w:val="single" w:color="CBD5E0" w:sz="1"/>
              <w:bottom w:val="single" w:color="CBD5E0" w:sz="1"/>
              <w:right w:val="single" w:color="CBD5E0" w:sz="1"/>
            </w:tcBorders>
            <w:shd w:fill="F5F6FA" w:val="clear"/>
          </w:tcPr>
          <w:p>
            <w:r>
              <w:rPr>
                <w:rFonts w:ascii="Arial" w:cs="Arial" w:eastAsia="Arial" w:hAnsi="Arial"/>
                <w:b/>
                <w:bCs/>
                <w:color w:val="E67E22"/>
                <w:sz w:val="20"/>
                <w:szCs w:val="20"/>
              </w:rPr>
              <w:t xml:space="preserve">[High]</w:t>
            </w:r>
          </w:p>
        </w:tc>
        <w:tc>
          <w:tcPr>
            <w:tcW w:type="dxa" w:w="2600"/>
            <w:tcBorders>
              <w:top w:val="single" w:color="CBD5E0" w:sz="1"/>
              <w:left w:val="single" w:color="CBD5E0" w:sz="1"/>
              <w:bottom w:val="single" w:color="CBD5E0" w:sz="1"/>
              <w:right w:val="single" w:color="CBD5E0" w:sz="1"/>
            </w:tcBorders>
          </w:tcPr>
          <w:p>
            <w:r>
              <w:rPr>
                <w:rFonts w:ascii="Arial" w:cs="Arial" w:eastAsia="Arial" w:hAnsi="Arial"/>
                <w:b/>
                <w:bCs/>
                <w:color w:val="2D3748"/>
                <w:sz w:val="18"/>
                <w:szCs w:val="18"/>
              </w:rPr>
              <w:t xml:space="preserve">자연어 명세 충돌 처리</w:t>
            </w:r>
          </w:p>
        </w:tc>
        <w:tc>
          <w:tcPr>
            <w:tcW w:type="dxa" w:w="4960"/>
            <w:tcBorders>
              <w:top w:val="single" w:color="CBD5E0" w:sz="1"/>
              <w:left w:val="single" w:color="CBD5E0" w:sz="1"/>
              <w:bottom w:val="single" w:color="CBD5E0" w:sz="1"/>
              <w:right w:val="single" w:color="CBD5E0" w:sz="1"/>
            </w:tcBorders>
          </w:tcPr>
          <w:p>
            <w:r>
              <w:rPr>
                <w:rFonts w:ascii="Arial" w:cs="Arial" w:eastAsia="Arial" w:hAnsi="Arial"/>
                <w:color w:val="2D3748"/>
                <w:sz w:val="18"/>
                <w:szCs w:val="18"/>
              </w:rPr>
              <w:t xml:space="preserve">비기술자가 자연어로 입력한 명세가 기존 SDD 명세와 충돌할 때의 처리 플로우가 필요합니다. 충돌 감지 → 사용자 확인 → 병합/대체 결정 흐름이 정의되어야 하며, SDD Triangle이 이 검증을 어느 시점에 수행하는지 명확해야 합니다.</w:t>
            </w:r>
          </w:p>
        </w:tc>
      </w:tr>
      <w:tr>
        <w:tc>
          <w:tcPr>
            <w:tcW w:type="dxa" w:w="600"/>
            <w:tcBorders>
              <w:top w:val="single" w:color="CBD5E0" w:sz="1"/>
              <w:left w:val="single" w:color="CBD5E0" w:sz="1"/>
              <w:bottom w:val="single" w:color="CBD5E0" w:sz="1"/>
              <w:right w:val="single" w:color="CBD5E0" w:sz="1"/>
            </w:tcBorders>
          </w:tcPr>
          <w:p>
            <w:r>
              <w:rPr>
                <w:rFonts w:ascii="Arial" w:cs="Arial" w:eastAsia="Arial" w:hAnsi="Arial"/>
                <w:b/>
                <w:bCs/>
                <w:color w:val="2B6CB0"/>
                <w:sz w:val="18"/>
                <w:szCs w:val="18"/>
              </w:rPr>
              <w:t xml:space="preserve">E-04</w:t>
            </w:r>
          </w:p>
        </w:tc>
        <w:tc>
          <w:tcPr>
            <w:tcW w:type="dxa" w:w="1200"/>
            <w:tcBorders>
              <w:top w:val="single" w:color="CBD5E0" w:sz="1"/>
              <w:left w:val="single" w:color="CBD5E0" w:sz="1"/>
              <w:bottom w:val="single" w:color="CBD5E0" w:sz="1"/>
              <w:right w:val="single" w:color="CBD5E0" w:sz="1"/>
            </w:tcBorders>
            <w:shd w:fill="F5F6FA" w:val="clear"/>
          </w:tcPr>
          <w:p>
            <w:r>
              <w:rPr>
                <w:rFonts w:ascii="Arial" w:cs="Arial" w:eastAsia="Arial" w:hAnsi="Arial"/>
                <w:b/>
                <w:bCs/>
                <w:color w:val="F39C12"/>
                <w:sz w:val="20"/>
                <w:szCs w:val="20"/>
              </w:rPr>
              <w:t xml:space="preserve">[Medium]</w:t>
            </w:r>
          </w:p>
        </w:tc>
        <w:tc>
          <w:tcPr>
            <w:tcW w:type="dxa" w:w="2600"/>
            <w:tcBorders>
              <w:top w:val="single" w:color="CBD5E0" w:sz="1"/>
              <w:left w:val="single" w:color="CBD5E0" w:sz="1"/>
              <w:bottom w:val="single" w:color="CBD5E0" w:sz="1"/>
              <w:right w:val="single" w:color="CBD5E0" w:sz="1"/>
            </w:tcBorders>
          </w:tcPr>
          <w:p>
            <w:r>
              <w:rPr>
                <w:rFonts w:ascii="Arial" w:cs="Arial" w:eastAsia="Arial" w:hAnsi="Arial"/>
                <w:b/>
                <w:bCs/>
                <w:color w:val="2D3748"/>
                <w:sz w:val="18"/>
                <w:szCs w:val="18"/>
              </w:rPr>
              <w:t xml:space="preserve">Redis 캐시 무효화 시점</w:t>
            </w:r>
          </w:p>
        </w:tc>
        <w:tc>
          <w:tcPr>
            <w:tcW w:type="dxa" w:w="4960"/>
            <w:tcBorders>
              <w:top w:val="single" w:color="CBD5E0" w:sz="1"/>
              <w:left w:val="single" w:color="CBD5E0" w:sz="1"/>
              <w:bottom w:val="single" w:color="CBD5E0" w:sz="1"/>
              <w:right w:val="single" w:color="CBD5E0" w:sz="1"/>
            </w:tcBorders>
          </w:tcPr>
          <w:p>
            <w:r>
              <w:rPr>
                <w:rFonts w:ascii="Arial" w:cs="Arial" w:eastAsia="Arial" w:hAnsi="Arial"/>
                <w:color w:val="2D3748"/>
                <w:sz w:val="18"/>
                <w:szCs w:val="18"/>
              </w:rPr>
              <w:t xml:space="preserve">Git과 PostgreSQL이 변경될 때 Redis 캐시 무효화 시점이 정확하지 않으면 stale data를 읽게 됩니다. 특히 에이전트가 캐시된 명세를 기반으로 작업하는 경우, 이미 변경된 명세에 대해 작업하는 phantom read 문제가 발생합니다.</w:t>
            </w:r>
          </w:p>
        </w:tc>
      </w:tr>
    </w:tbl>
    <w:p>
      <w:pPr>
        <w:spacing w:after="100" w:before="200"/>
      </w:pPr>
    </w:p>
    <w:p>
      <w:pPr>
        <w:pStyle w:val="Heading1"/>
      </w:pPr>
      <w:r>
        <w:rPr>
          <w:rFonts w:ascii="Arial" w:cs="Arial" w:eastAsia="Arial" w:hAnsi="Arial"/>
        </w:rPr>
        <w:t xml:space="preserve">3. 숨겨진 의존성 (Hidden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600"/>
        <w:gridCol w:w="4960"/>
      </w:tblGrid>
      <w:tr>
        <w:tc>
          <w:tcPr>
            <w:tcW w:type="dxa" w:w="600"/>
            <w:tcBorders>
              <w:top w:val="single" w:color="CBD5E0" w:sz="1"/>
              <w:left w:val="single" w:color="CBD5E0" w:sz="1"/>
              <w:bottom w:val="single" w:color="CBD5E0" w:sz="1"/>
              <w:right w:val="single" w:color="CBD5E0" w:sz="1"/>
            </w:tcBorders>
            <w:shd w:fill="1A365D" w:val="clear"/>
          </w:tcPr>
          <w:p>
            <w:r>
              <w:rPr>
                <w:rFonts w:ascii="Arial" w:cs="Arial" w:eastAsia="Arial" w:hAnsi="Arial"/>
                <w:b/>
                <w:bCs/>
                <w:color w:val="FFFFFF"/>
                <w:sz w:val="18"/>
                <w:szCs w:val="18"/>
              </w:rPr>
              <w:t xml:space="preserve">ID</w:t>
            </w:r>
          </w:p>
        </w:tc>
        <w:tc>
          <w:tcPr>
            <w:tcW w:type="dxa" w:w="1200"/>
            <w:tcBorders>
              <w:top w:val="single" w:color="CBD5E0" w:sz="1"/>
              <w:left w:val="single" w:color="CBD5E0" w:sz="1"/>
              <w:bottom w:val="single" w:color="CBD5E0" w:sz="1"/>
              <w:right w:val="single" w:color="CBD5E0" w:sz="1"/>
            </w:tcBorders>
            <w:shd w:fill="1A365D" w:val="clear"/>
          </w:tcPr>
          <w:p>
            <w:r>
              <w:rPr>
                <w:rFonts w:ascii="Arial" w:cs="Arial" w:eastAsia="Arial" w:hAnsi="Arial"/>
                <w:b/>
                <w:bCs/>
                <w:color w:val="FFFFFF"/>
                <w:sz w:val="18"/>
                <w:szCs w:val="18"/>
              </w:rPr>
              <w:t xml:space="preserve">심각도</w:t>
            </w:r>
          </w:p>
        </w:tc>
        <w:tc>
          <w:tcPr>
            <w:tcW w:type="dxa" w:w="2600"/>
            <w:tcBorders>
              <w:top w:val="single" w:color="CBD5E0" w:sz="1"/>
              <w:left w:val="single" w:color="CBD5E0" w:sz="1"/>
              <w:bottom w:val="single" w:color="CBD5E0" w:sz="1"/>
              <w:right w:val="single" w:color="CBD5E0" w:sz="1"/>
            </w:tcBorders>
            <w:shd w:fill="1A365D" w:val="clear"/>
          </w:tcPr>
          <w:p>
            <w:r>
              <w:rPr>
                <w:rFonts w:ascii="Arial" w:cs="Arial" w:eastAsia="Arial" w:hAnsi="Arial"/>
                <w:b/>
                <w:bCs/>
                <w:color w:val="FFFFFF"/>
                <w:sz w:val="18"/>
                <w:szCs w:val="18"/>
              </w:rPr>
              <w:t xml:space="preserve">항목</w:t>
            </w:r>
          </w:p>
        </w:tc>
        <w:tc>
          <w:tcPr>
            <w:tcW w:type="dxa" w:w="4960"/>
            <w:tcBorders>
              <w:top w:val="single" w:color="CBD5E0" w:sz="1"/>
              <w:left w:val="single" w:color="CBD5E0" w:sz="1"/>
              <w:bottom w:val="single" w:color="CBD5E0" w:sz="1"/>
              <w:right w:val="single" w:color="CBD5E0" w:sz="1"/>
            </w:tcBorders>
            <w:shd w:fill="1A365D" w:val="clear"/>
          </w:tcPr>
          <w:p>
            <w:r>
              <w:rPr>
                <w:rFonts w:ascii="Arial" w:cs="Arial" w:eastAsia="Arial" w:hAnsi="Arial"/>
                <w:b/>
                <w:bCs/>
                <w:color w:val="FFFFFF"/>
                <w:sz w:val="18"/>
                <w:szCs w:val="18"/>
              </w:rPr>
              <w:t xml:space="preserve">상세 설명</w:t>
            </w:r>
          </w:p>
        </w:tc>
      </w:tr>
      <w:tr>
        <w:tc>
          <w:tcPr>
            <w:tcW w:type="dxa" w:w="600"/>
            <w:tcBorders>
              <w:top w:val="single" w:color="CBD5E0" w:sz="1"/>
              <w:left w:val="single" w:color="CBD5E0" w:sz="1"/>
              <w:bottom w:val="single" w:color="CBD5E0" w:sz="1"/>
              <w:right w:val="single" w:color="CBD5E0" w:sz="1"/>
            </w:tcBorders>
          </w:tcPr>
          <w:p>
            <w:r>
              <w:rPr>
                <w:rFonts w:ascii="Arial" w:cs="Arial" w:eastAsia="Arial" w:hAnsi="Arial"/>
                <w:b/>
                <w:bCs/>
                <w:color w:val="2B6CB0"/>
                <w:sz w:val="18"/>
                <w:szCs w:val="18"/>
              </w:rPr>
              <w:t xml:space="preserve">D-01</w:t>
            </w:r>
          </w:p>
        </w:tc>
        <w:tc>
          <w:tcPr>
            <w:tcW w:type="dxa" w:w="1200"/>
            <w:tcBorders>
              <w:top w:val="single" w:color="CBD5E0" w:sz="1"/>
              <w:left w:val="single" w:color="CBD5E0" w:sz="1"/>
              <w:bottom w:val="single" w:color="CBD5E0" w:sz="1"/>
              <w:right w:val="single" w:color="CBD5E0" w:sz="1"/>
            </w:tcBorders>
            <w:shd w:fill="F5F6FA" w:val="clear"/>
          </w:tcPr>
          <w:p>
            <w:r>
              <w:rPr>
                <w:rFonts w:ascii="Arial" w:cs="Arial" w:eastAsia="Arial" w:hAnsi="Arial"/>
                <w:b/>
                <w:bCs/>
                <w:color w:val="C0392B"/>
                <w:sz w:val="20"/>
                <w:szCs w:val="20"/>
              </w:rPr>
              <w:t xml:space="preserve">[Critical]</w:t>
            </w:r>
          </w:p>
        </w:tc>
        <w:tc>
          <w:tcPr>
            <w:tcW w:type="dxa" w:w="2600"/>
            <w:tcBorders>
              <w:top w:val="single" w:color="CBD5E0" w:sz="1"/>
              <w:left w:val="single" w:color="CBD5E0" w:sz="1"/>
              <w:bottom w:val="single" w:color="CBD5E0" w:sz="1"/>
              <w:right w:val="single" w:color="CBD5E0" w:sz="1"/>
            </w:tcBorders>
          </w:tcPr>
          <w:p>
            <w:r>
              <w:rPr>
                <w:rFonts w:ascii="Arial" w:cs="Arial" w:eastAsia="Arial" w:hAnsi="Arial"/>
                <w:b/>
                <w:bCs/>
                <w:color w:val="2D3748"/>
                <w:sz w:val="18"/>
                <w:szCs w:val="18"/>
              </w:rPr>
              <w:t xml:space="preserve">Plumb(Python) ↔ TypeScript 생태계 통합</w:t>
            </w:r>
          </w:p>
        </w:tc>
        <w:tc>
          <w:tcPr>
            <w:tcW w:type="dxa" w:w="4960"/>
            <w:tcBorders>
              <w:top w:val="single" w:color="CBD5E0" w:sz="1"/>
              <w:left w:val="single" w:color="CBD5E0" w:sz="1"/>
              <w:bottom w:val="single" w:color="CBD5E0" w:sz="1"/>
              <w:right w:val="single" w:color="CBD5E0" w:sz="1"/>
            </w:tcBorders>
          </w:tcPr>
          <w:p>
            <w:r>
              <w:rPr>
                <w:rFonts w:ascii="Arial" w:cs="Arial" w:eastAsia="Arial" w:hAnsi="Arial"/>
                <w:color w:val="2D3748"/>
                <w:sz w:val="18"/>
                <w:szCs w:val="18"/>
              </w:rPr>
              <w:t xml:space="preserve">Plumb가 Python 전용인데, 나머지 5개 리포가 모두 TypeScript입니다. 통합 방식이 HTTP REST인지, gRPC인지, 메시지 큐인지에 따라 아키텍처가 크게 달라집니다. 또한 Python 프로세스의 라이프사이클 관리(배포, 스케일링, 헬스체크)가 TS 시스템과 독립적으로 정의되어야 합니다.</w:t>
            </w:r>
          </w:p>
        </w:tc>
      </w:tr>
      <w:tr>
        <w:tc>
          <w:tcPr>
            <w:tcW w:type="dxa" w:w="600"/>
            <w:tcBorders>
              <w:top w:val="single" w:color="CBD5E0" w:sz="1"/>
              <w:left w:val="single" w:color="CBD5E0" w:sz="1"/>
              <w:bottom w:val="single" w:color="CBD5E0" w:sz="1"/>
              <w:right w:val="single" w:color="CBD5E0" w:sz="1"/>
            </w:tcBorders>
          </w:tcPr>
          <w:p>
            <w:r>
              <w:rPr>
                <w:rFonts w:ascii="Arial" w:cs="Arial" w:eastAsia="Arial" w:hAnsi="Arial"/>
                <w:b/>
                <w:bCs/>
                <w:color w:val="2B6CB0"/>
                <w:sz w:val="18"/>
                <w:szCs w:val="18"/>
              </w:rPr>
              <w:t xml:space="preserve">D-02</w:t>
            </w:r>
          </w:p>
        </w:tc>
        <w:tc>
          <w:tcPr>
            <w:tcW w:type="dxa" w:w="1200"/>
            <w:tcBorders>
              <w:top w:val="single" w:color="CBD5E0" w:sz="1"/>
              <w:left w:val="single" w:color="CBD5E0" w:sz="1"/>
              <w:bottom w:val="single" w:color="CBD5E0" w:sz="1"/>
              <w:right w:val="single" w:color="CBD5E0" w:sz="1"/>
            </w:tcBorders>
            <w:shd w:fill="F5F6FA" w:val="clear"/>
          </w:tcPr>
          <w:p>
            <w:r>
              <w:rPr>
                <w:rFonts w:ascii="Arial" w:cs="Arial" w:eastAsia="Arial" w:hAnsi="Arial"/>
                <w:b/>
                <w:bCs/>
                <w:color w:val="E67E22"/>
                <w:sz w:val="20"/>
                <w:szCs w:val="20"/>
              </w:rPr>
              <w:t xml:space="preserve">[High]</w:t>
            </w:r>
          </w:p>
        </w:tc>
        <w:tc>
          <w:tcPr>
            <w:tcW w:type="dxa" w:w="2600"/>
            <w:tcBorders>
              <w:top w:val="single" w:color="CBD5E0" w:sz="1"/>
              <w:left w:val="single" w:color="CBD5E0" w:sz="1"/>
              <w:bottom w:val="single" w:color="CBD5E0" w:sz="1"/>
              <w:right w:val="single" w:color="CBD5E0" w:sz="1"/>
            </w:tcBorders>
          </w:tcPr>
          <w:p>
            <w:r>
              <w:rPr>
                <w:rFonts w:ascii="Arial" w:cs="Arial" w:eastAsia="Arial" w:hAnsi="Arial"/>
                <w:b/>
                <w:bCs/>
                <w:color w:val="2D3748"/>
                <w:sz w:val="18"/>
                <w:szCs w:val="18"/>
              </w:rPr>
              <w:t xml:space="preserve">GitHub/GitLab 추상화 레이어 기능 차이</w:t>
            </w:r>
          </w:p>
        </w:tc>
        <w:tc>
          <w:tcPr>
            <w:tcW w:type="dxa" w:w="4960"/>
            <w:tcBorders>
              <w:top w:val="single" w:color="CBD5E0" w:sz="1"/>
              <w:left w:val="single" w:color="CBD5E0" w:sz="1"/>
              <w:bottom w:val="single" w:color="CBD5E0" w:sz="1"/>
              <w:right w:val="single" w:color="CBD5E0" w:sz="1"/>
            </w:tcBorders>
          </w:tcPr>
          <w:p>
            <w:r>
              <w:rPr>
                <w:rFonts w:ascii="Arial" w:cs="Arial" w:eastAsia="Arial" w:hAnsi="Arial"/>
                <w:color w:val="2D3748"/>
                <w:sz w:val="18"/>
                <w:szCs w:val="18"/>
              </w:rPr>
              <w:t xml:space="preserve">GitHub와 GitLab의 기능 차이가 크니다: PR vs MR 개념 차이, webhook 페이로드 차이, CI/CD 통합 방식, branch protection 규칙, code review 시스템 차이 등. 추상화 레이어가 최소공통분모(LCD)로 설계되면 플랫폼별 강점을 활용할 수 없고, 개별 구현으로 가면 유지보수 비용이 급증합니다.</w:t>
            </w:r>
          </w:p>
        </w:tc>
      </w:tr>
      <w:tr>
        <w:tc>
          <w:tcPr>
            <w:tcW w:type="dxa" w:w="600"/>
            <w:tcBorders>
              <w:top w:val="single" w:color="CBD5E0" w:sz="1"/>
              <w:left w:val="single" w:color="CBD5E0" w:sz="1"/>
              <w:bottom w:val="single" w:color="CBD5E0" w:sz="1"/>
              <w:right w:val="single" w:color="CBD5E0" w:sz="1"/>
            </w:tcBorders>
          </w:tcPr>
          <w:p>
            <w:r>
              <w:rPr>
                <w:rFonts w:ascii="Arial" w:cs="Arial" w:eastAsia="Arial" w:hAnsi="Arial"/>
                <w:b/>
                <w:bCs/>
                <w:color w:val="2B6CB0"/>
                <w:sz w:val="18"/>
                <w:szCs w:val="18"/>
              </w:rPr>
              <w:t xml:space="preserve">D-03</w:t>
            </w:r>
          </w:p>
        </w:tc>
        <w:tc>
          <w:tcPr>
            <w:tcW w:type="dxa" w:w="1200"/>
            <w:tcBorders>
              <w:top w:val="single" w:color="CBD5E0" w:sz="1"/>
              <w:left w:val="single" w:color="CBD5E0" w:sz="1"/>
              <w:bottom w:val="single" w:color="CBD5E0" w:sz="1"/>
              <w:right w:val="single" w:color="CBD5E0" w:sz="1"/>
            </w:tcBorders>
            <w:shd w:fill="F5F6FA" w:val="clear"/>
          </w:tcPr>
          <w:p>
            <w:r>
              <w:rPr>
                <w:rFonts w:ascii="Arial" w:cs="Arial" w:eastAsia="Arial" w:hAnsi="Arial"/>
                <w:b/>
                <w:bCs/>
                <w:color w:val="E67E22"/>
                <w:sz w:val="20"/>
                <w:szCs w:val="20"/>
              </w:rPr>
              <w:t xml:space="preserve">[High]</w:t>
            </w:r>
          </w:p>
        </w:tc>
        <w:tc>
          <w:tcPr>
            <w:tcW w:type="dxa" w:w="2600"/>
            <w:tcBorders>
              <w:top w:val="single" w:color="CBD5E0" w:sz="1"/>
              <w:left w:val="single" w:color="CBD5E0" w:sz="1"/>
              <w:bottom w:val="single" w:color="CBD5E0" w:sz="1"/>
              <w:right w:val="single" w:color="CBD5E0" w:sz="1"/>
            </w:tcBorders>
          </w:tcPr>
          <w:p>
            <w:r>
              <w:rPr>
                <w:rFonts w:ascii="Arial" w:cs="Arial" w:eastAsia="Arial" w:hAnsi="Arial"/>
                <w:b/>
                <w:bCs/>
                <w:color w:val="2D3748"/>
                <w:sz w:val="18"/>
                <w:szCs w:val="18"/>
              </w:rPr>
              <w:t xml:space="preserve">BullMQ → SDD Engine 오류 전파 경로</w:t>
            </w:r>
          </w:p>
        </w:tc>
        <w:tc>
          <w:tcPr>
            <w:tcW w:type="dxa" w:w="4960"/>
            <w:tcBorders>
              <w:top w:val="single" w:color="CBD5E0" w:sz="1"/>
              <w:left w:val="single" w:color="CBD5E0" w:sz="1"/>
              <w:bottom w:val="single" w:color="CBD5E0" w:sz="1"/>
              <w:right w:val="single" w:color="CBD5E0" w:sz="1"/>
            </w:tcBorders>
          </w:tcPr>
          <w:p>
            <w:r>
              <w:rPr>
                <w:rFonts w:ascii="Arial" w:cs="Arial" w:eastAsia="Arial" w:hAnsi="Arial"/>
                <w:color w:val="2D3748"/>
                <w:sz w:val="18"/>
                <w:szCs w:val="18"/>
              </w:rPr>
              <w:t xml:space="preserve">BullMQ 작업 큐에서 SDD Engine으로 작업을 전달할 때: (a) SDD Engine 프로세스가 응답 없음, (b) 처리 중 OOM 발생, (c) 부분 성공/부분 실패 등의 엣지 케이스에서 오류가 어떻게 사용자에게 전파되는지, Dead Letter Queue 처리 전략이 필요합니다.</w:t>
            </w:r>
          </w:p>
        </w:tc>
      </w:tr>
      <w:tr>
        <w:tc>
          <w:tcPr>
            <w:tcW w:type="dxa" w:w="600"/>
            <w:tcBorders>
              <w:top w:val="single" w:color="CBD5E0" w:sz="1"/>
              <w:left w:val="single" w:color="CBD5E0" w:sz="1"/>
              <w:bottom w:val="single" w:color="CBD5E0" w:sz="1"/>
              <w:right w:val="single" w:color="CBD5E0" w:sz="1"/>
            </w:tcBorders>
          </w:tcPr>
          <w:p>
            <w:r>
              <w:rPr>
                <w:rFonts w:ascii="Arial" w:cs="Arial" w:eastAsia="Arial" w:hAnsi="Arial"/>
                <w:b/>
                <w:bCs/>
                <w:color w:val="2B6CB0"/>
                <w:sz w:val="18"/>
                <w:szCs w:val="18"/>
              </w:rPr>
              <w:t xml:space="preserve">D-04</w:t>
            </w:r>
          </w:p>
        </w:tc>
        <w:tc>
          <w:tcPr>
            <w:tcW w:type="dxa" w:w="1200"/>
            <w:tcBorders>
              <w:top w:val="single" w:color="CBD5E0" w:sz="1"/>
              <w:left w:val="single" w:color="CBD5E0" w:sz="1"/>
              <w:bottom w:val="single" w:color="CBD5E0" w:sz="1"/>
              <w:right w:val="single" w:color="CBD5E0" w:sz="1"/>
            </w:tcBorders>
            <w:shd w:fill="F5F6FA" w:val="clear"/>
          </w:tcPr>
          <w:p>
            <w:r>
              <w:rPr>
                <w:rFonts w:ascii="Arial" w:cs="Arial" w:eastAsia="Arial" w:hAnsi="Arial"/>
                <w:b/>
                <w:bCs/>
                <w:color w:val="F39C12"/>
                <w:sz w:val="20"/>
                <w:szCs w:val="20"/>
              </w:rPr>
              <w:t xml:space="preserve">[Medium]</w:t>
            </w:r>
          </w:p>
        </w:tc>
        <w:tc>
          <w:tcPr>
            <w:tcW w:type="dxa" w:w="2600"/>
            <w:tcBorders>
              <w:top w:val="single" w:color="CBD5E0" w:sz="1"/>
              <w:left w:val="single" w:color="CBD5E0" w:sz="1"/>
              <w:bottom w:val="single" w:color="CBD5E0" w:sz="1"/>
              <w:right w:val="single" w:color="CBD5E0" w:sz="1"/>
            </w:tcBorders>
          </w:tcPr>
          <w:p>
            <w:r>
              <w:rPr>
                <w:rFonts w:ascii="Arial" w:cs="Arial" w:eastAsia="Arial" w:hAnsi="Arial"/>
                <w:b/>
                <w:bCs/>
                <w:color w:val="2D3748"/>
                <w:sz w:val="18"/>
                <w:szCs w:val="18"/>
              </w:rPr>
              <w:t xml:space="preserve">인증/권한 통합 부재 위험</w:t>
            </w:r>
          </w:p>
        </w:tc>
        <w:tc>
          <w:tcPr>
            <w:tcW w:type="dxa" w:w="4960"/>
            <w:tcBorders>
              <w:top w:val="single" w:color="CBD5E0" w:sz="1"/>
              <w:left w:val="single" w:color="CBD5E0" w:sz="1"/>
              <w:bottom w:val="single" w:color="CBD5E0" w:sz="1"/>
              <w:right w:val="single" w:color="CBD5E0" w:sz="1"/>
            </w:tcBorders>
          </w:tcPr>
          <w:p>
            <w:r>
              <w:rPr>
                <w:rFonts w:ascii="Arial" w:cs="Arial" w:eastAsia="Arial" w:hAnsi="Arial"/>
                <w:color w:val="2D3748"/>
                <w:sz w:val="18"/>
                <w:szCs w:val="18"/>
              </w:rPr>
              <w:t xml:space="preserve">Git 계정(에이전트용)과 플랫폼 계정(사용자용)의 권한 모델이 분리될 수 있습니다. 에이전트가 사용자 권한을 대행할 때의 delegation/impersonation 모델이 명확해야 합니다.</w:t>
            </w:r>
          </w:p>
        </w:tc>
      </w:tr>
      <w:tr>
        <w:tc>
          <w:tcPr>
            <w:tcW w:type="dxa" w:w="600"/>
            <w:tcBorders>
              <w:top w:val="single" w:color="CBD5E0" w:sz="1"/>
              <w:left w:val="single" w:color="CBD5E0" w:sz="1"/>
              <w:bottom w:val="single" w:color="CBD5E0" w:sz="1"/>
              <w:right w:val="single" w:color="CBD5E0" w:sz="1"/>
            </w:tcBorders>
          </w:tcPr>
          <w:p>
            <w:r>
              <w:rPr>
                <w:rFonts w:ascii="Arial" w:cs="Arial" w:eastAsia="Arial" w:hAnsi="Arial"/>
                <w:b/>
                <w:bCs/>
                <w:color w:val="2B6CB0"/>
                <w:sz w:val="18"/>
                <w:szCs w:val="18"/>
              </w:rPr>
              <w:t xml:space="preserve">D-05</w:t>
            </w:r>
          </w:p>
        </w:tc>
        <w:tc>
          <w:tcPr>
            <w:tcW w:type="dxa" w:w="1200"/>
            <w:tcBorders>
              <w:top w:val="single" w:color="CBD5E0" w:sz="1"/>
              <w:left w:val="single" w:color="CBD5E0" w:sz="1"/>
              <w:bottom w:val="single" w:color="CBD5E0" w:sz="1"/>
              <w:right w:val="single" w:color="CBD5E0" w:sz="1"/>
            </w:tcBorders>
            <w:shd w:fill="F5F6FA" w:val="clear"/>
          </w:tcPr>
          <w:p>
            <w:r>
              <w:rPr>
                <w:rFonts w:ascii="Arial" w:cs="Arial" w:eastAsia="Arial" w:hAnsi="Arial"/>
                <w:b/>
                <w:bCs/>
                <w:color w:val="27AE60"/>
                <w:sz w:val="20"/>
                <w:szCs w:val="20"/>
              </w:rPr>
              <w:t xml:space="preserve">[Low]</w:t>
            </w:r>
          </w:p>
        </w:tc>
        <w:tc>
          <w:tcPr>
            <w:tcW w:type="dxa" w:w="2600"/>
            <w:tcBorders>
              <w:top w:val="single" w:color="CBD5E0" w:sz="1"/>
              <w:left w:val="single" w:color="CBD5E0" w:sz="1"/>
              <w:bottom w:val="single" w:color="CBD5E0" w:sz="1"/>
              <w:right w:val="single" w:color="CBD5E0" w:sz="1"/>
            </w:tcBorders>
          </w:tcPr>
          <w:p>
            <w:r>
              <w:rPr>
                <w:rFonts w:ascii="Arial" w:cs="Arial" w:eastAsia="Arial" w:hAnsi="Arial"/>
                <w:b/>
                <w:bCs/>
                <w:color w:val="2D3748"/>
                <w:sz w:val="18"/>
                <w:szCs w:val="18"/>
              </w:rPr>
              <w:t xml:space="preserve">Redis 단일 장애점</w:t>
            </w:r>
          </w:p>
        </w:tc>
        <w:tc>
          <w:tcPr>
            <w:tcW w:type="dxa" w:w="4960"/>
            <w:tcBorders>
              <w:top w:val="single" w:color="CBD5E0" w:sz="1"/>
              <w:left w:val="single" w:color="CBD5E0" w:sz="1"/>
              <w:bottom w:val="single" w:color="CBD5E0" w:sz="1"/>
              <w:right w:val="single" w:color="CBD5E0" w:sz="1"/>
            </w:tcBorders>
          </w:tcPr>
          <w:p>
            <w:r>
              <w:rPr>
                <w:rFonts w:ascii="Arial" w:cs="Arial" w:eastAsia="Arial" w:hAnsi="Arial"/>
                <w:color w:val="2D3748"/>
                <w:sz w:val="18"/>
                <w:szCs w:val="18"/>
              </w:rPr>
              <w:t xml:space="preserve">Redis가 캐시와 큐 역할을 모두 담당하면, Redis 장애 시 캐시와 작업 큐 모두 중단됩니다. 역할 분리 또는 Redis Sentinel/Cluster 구성이 필요합니다.</w:t>
            </w:r>
          </w:p>
        </w:tc>
      </w:tr>
    </w:tbl>
    <w:p>
      <w:pPr>
        <w:spacing w:after="100" w:before="200"/>
      </w:pPr>
    </w:p>
    <w:p>
      <w:pPr>
        <w:pStyle w:val="Heading1"/>
      </w:pPr>
      <w:r>
        <w:rPr>
          <w:rFonts w:ascii="Arial" w:cs="Arial" w:eastAsia="Arial" w:hAnsi="Arial"/>
        </w:rPr>
        <w:t xml:space="preserve">4. 기존 코드 재활용 판정의 타당성</w:t>
      </w:r>
    </w:p>
    <w:p>
      <w:pPr>
        <w:pStyle w:val="Heading2"/>
      </w:pPr>
      <w:r>
        <w:rPr>
          <w:rFonts w:ascii="Arial" w:cs="Arial" w:eastAsia="Arial" w:hAnsi="Arial"/>
        </w:rPr>
        <w:t xml:space="preserve">4.1 폐기 판정 항목 검토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600"/>
        <w:gridCol w:w="4960"/>
      </w:tblGrid>
      <w:tr>
        <w:tc>
          <w:tcPr>
            <w:tcW w:type="dxa" w:w="600"/>
            <w:tcBorders>
              <w:top w:val="single" w:color="CBD5E0" w:sz="1"/>
              <w:left w:val="single" w:color="CBD5E0" w:sz="1"/>
              <w:bottom w:val="single" w:color="CBD5E0" w:sz="1"/>
              <w:right w:val="single" w:color="CBD5E0" w:sz="1"/>
            </w:tcBorders>
            <w:shd w:fill="1A365D" w:val="clear"/>
          </w:tcPr>
          <w:p>
            <w:r>
              <w:rPr>
                <w:rFonts w:ascii="Arial" w:cs="Arial" w:eastAsia="Arial" w:hAnsi="Arial"/>
                <w:b/>
                <w:bCs/>
                <w:color w:val="FFFFFF"/>
                <w:sz w:val="18"/>
                <w:szCs w:val="18"/>
              </w:rPr>
              <w:t xml:space="preserve">ID</w:t>
            </w:r>
          </w:p>
        </w:tc>
        <w:tc>
          <w:tcPr>
            <w:tcW w:type="dxa" w:w="1200"/>
            <w:tcBorders>
              <w:top w:val="single" w:color="CBD5E0" w:sz="1"/>
              <w:left w:val="single" w:color="CBD5E0" w:sz="1"/>
              <w:bottom w:val="single" w:color="CBD5E0" w:sz="1"/>
              <w:right w:val="single" w:color="CBD5E0" w:sz="1"/>
            </w:tcBorders>
            <w:shd w:fill="1A365D" w:val="clear"/>
          </w:tcPr>
          <w:p>
            <w:r>
              <w:rPr>
                <w:rFonts w:ascii="Arial" w:cs="Arial" w:eastAsia="Arial" w:hAnsi="Arial"/>
                <w:b/>
                <w:bCs/>
                <w:color w:val="FFFFFF"/>
                <w:sz w:val="18"/>
                <w:szCs w:val="18"/>
              </w:rPr>
              <w:t xml:space="preserve">심각도</w:t>
            </w:r>
          </w:p>
        </w:tc>
        <w:tc>
          <w:tcPr>
            <w:tcW w:type="dxa" w:w="2600"/>
            <w:tcBorders>
              <w:top w:val="single" w:color="CBD5E0" w:sz="1"/>
              <w:left w:val="single" w:color="CBD5E0" w:sz="1"/>
              <w:bottom w:val="single" w:color="CBD5E0" w:sz="1"/>
              <w:right w:val="single" w:color="CBD5E0" w:sz="1"/>
            </w:tcBorders>
            <w:shd w:fill="1A365D" w:val="clear"/>
          </w:tcPr>
          <w:p>
            <w:r>
              <w:rPr>
                <w:rFonts w:ascii="Arial" w:cs="Arial" w:eastAsia="Arial" w:hAnsi="Arial"/>
                <w:b/>
                <w:bCs/>
                <w:color w:val="FFFFFF"/>
                <w:sz w:val="18"/>
                <w:szCs w:val="18"/>
              </w:rPr>
              <w:t xml:space="preserve">항목</w:t>
            </w:r>
          </w:p>
        </w:tc>
        <w:tc>
          <w:tcPr>
            <w:tcW w:type="dxa" w:w="4960"/>
            <w:tcBorders>
              <w:top w:val="single" w:color="CBD5E0" w:sz="1"/>
              <w:left w:val="single" w:color="CBD5E0" w:sz="1"/>
              <w:bottom w:val="single" w:color="CBD5E0" w:sz="1"/>
              <w:right w:val="single" w:color="CBD5E0" w:sz="1"/>
            </w:tcBorders>
            <w:shd w:fill="1A365D" w:val="clear"/>
          </w:tcPr>
          <w:p>
            <w:r>
              <w:rPr>
                <w:rFonts w:ascii="Arial" w:cs="Arial" w:eastAsia="Arial" w:hAnsi="Arial"/>
                <w:b/>
                <w:bCs/>
                <w:color w:val="FFFFFF"/>
                <w:sz w:val="18"/>
                <w:szCs w:val="18"/>
              </w:rPr>
              <w:t xml:space="preserve">상세 설명</w:t>
            </w:r>
          </w:p>
        </w:tc>
      </w:tr>
      <w:tr>
        <w:tc>
          <w:tcPr>
            <w:tcW w:type="dxa" w:w="600"/>
            <w:tcBorders>
              <w:top w:val="single" w:color="CBD5E0" w:sz="1"/>
              <w:left w:val="single" w:color="CBD5E0" w:sz="1"/>
              <w:bottom w:val="single" w:color="CBD5E0" w:sz="1"/>
              <w:right w:val="single" w:color="CBD5E0" w:sz="1"/>
            </w:tcBorders>
          </w:tcPr>
          <w:p>
            <w:r>
              <w:rPr>
                <w:rFonts w:ascii="Arial" w:cs="Arial" w:eastAsia="Arial" w:hAnsi="Arial"/>
                <w:b/>
                <w:bCs/>
                <w:color w:val="2B6CB0"/>
                <w:sz w:val="18"/>
                <w:szCs w:val="18"/>
              </w:rPr>
              <w:t xml:space="preserve">R-01</w:t>
            </w:r>
          </w:p>
        </w:tc>
        <w:tc>
          <w:tcPr>
            <w:tcW w:type="dxa" w:w="1200"/>
            <w:tcBorders>
              <w:top w:val="single" w:color="CBD5E0" w:sz="1"/>
              <w:left w:val="single" w:color="CBD5E0" w:sz="1"/>
              <w:bottom w:val="single" w:color="CBD5E0" w:sz="1"/>
              <w:right w:val="single" w:color="CBD5E0" w:sz="1"/>
            </w:tcBorders>
            <w:shd w:fill="F5F6FA" w:val="clear"/>
          </w:tcPr>
          <w:p>
            <w:r>
              <w:rPr>
                <w:rFonts w:ascii="Arial" w:cs="Arial" w:eastAsia="Arial" w:hAnsi="Arial"/>
                <w:b/>
                <w:bCs/>
                <w:color w:val="F39C12"/>
                <w:sz w:val="20"/>
                <w:szCs w:val="20"/>
              </w:rPr>
              <w:t xml:space="preserve">[Medium]</w:t>
            </w:r>
          </w:p>
        </w:tc>
        <w:tc>
          <w:tcPr>
            <w:tcW w:type="dxa" w:w="2600"/>
            <w:tcBorders>
              <w:top w:val="single" w:color="CBD5E0" w:sz="1"/>
              <w:left w:val="single" w:color="CBD5E0" w:sz="1"/>
              <w:bottom w:val="single" w:color="CBD5E0" w:sz="1"/>
              <w:right w:val="single" w:color="CBD5E0" w:sz="1"/>
            </w:tcBorders>
          </w:tcPr>
          <w:p>
            <w:r>
              <w:rPr>
                <w:rFonts w:ascii="Arial" w:cs="Arial" w:eastAsia="Arial" w:hAnsi="Arial"/>
                <w:b/>
                <w:bCs/>
                <w:color w:val="2D3748"/>
                <w:sz w:val="18"/>
                <w:szCs w:val="18"/>
              </w:rPr>
              <w:t xml:space="preserve">codegen-core 폐기 판정 재검토</w:t>
            </w:r>
          </w:p>
        </w:tc>
        <w:tc>
          <w:tcPr>
            <w:tcW w:type="dxa" w:w="4960"/>
            <w:tcBorders>
              <w:top w:val="single" w:color="CBD5E0" w:sz="1"/>
              <w:left w:val="single" w:color="CBD5E0" w:sz="1"/>
              <w:bottom w:val="single" w:color="CBD5E0" w:sz="1"/>
              <w:right w:val="single" w:color="CBD5E0" w:sz="1"/>
            </w:tcBorders>
          </w:tcPr>
          <w:p>
            <w:r>
              <w:rPr>
                <w:rFonts w:ascii="Arial" w:cs="Arial" w:eastAsia="Arial" w:hAnsi="Arial"/>
                <w:color w:val="2D3748"/>
                <w:sz w:val="18"/>
                <w:szCs w:val="18"/>
              </w:rPr>
              <w:t xml:space="preserve">codegen-core의 전체 폐기보다는 부분 재활용을 검토해야 합니다. 특히 템플릿 로직, AST 처리, 파일 생성 파이프라인 등은 SDD Engine 내에서 재활용 가치가 있을 수 있습니다. 폐기 이유가 '기술 부채'인지 '아키텍처 불일치'인지 구분이 필요합니다.</w:t>
            </w:r>
          </w:p>
        </w:tc>
      </w:tr>
      <w:tr>
        <w:tc>
          <w:tcPr>
            <w:tcW w:type="dxa" w:w="600"/>
            <w:tcBorders>
              <w:top w:val="single" w:color="CBD5E0" w:sz="1"/>
              <w:left w:val="single" w:color="CBD5E0" w:sz="1"/>
              <w:bottom w:val="single" w:color="CBD5E0" w:sz="1"/>
              <w:right w:val="single" w:color="CBD5E0" w:sz="1"/>
            </w:tcBorders>
          </w:tcPr>
          <w:p>
            <w:r>
              <w:rPr>
                <w:rFonts w:ascii="Arial" w:cs="Arial" w:eastAsia="Arial" w:hAnsi="Arial"/>
                <w:b/>
                <w:bCs/>
                <w:color w:val="2B6CB0"/>
                <w:sz w:val="18"/>
                <w:szCs w:val="18"/>
              </w:rPr>
              <w:t xml:space="preserve">R-02</w:t>
            </w:r>
          </w:p>
        </w:tc>
        <w:tc>
          <w:tcPr>
            <w:tcW w:type="dxa" w:w="1200"/>
            <w:tcBorders>
              <w:top w:val="single" w:color="CBD5E0" w:sz="1"/>
              <w:left w:val="single" w:color="CBD5E0" w:sz="1"/>
              <w:bottom w:val="single" w:color="CBD5E0" w:sz="1"/>
              <w:right w:val="single" w:color="CBD5E0" w:sz="1"/>
            </w:tcBorders>
            <w:shd w:fill="F5F6FA" w:val="clear"/>
          </w:tcPr>
          <w:p>
            <w:r>
              <w:rPr>
                <w:rFonts w:ascii="Arial" w:cs="Arial" w:eastAsia="Arial" w:hAnsi="Arial"/>
                <w:b/>
                <w:bCs/>
                <w:color w:val="F39C12"/>
                <w:sz w:val="20"/>
                <w:szCs w:val="20"/>
              </w:rPr>
              <w:t xml:space="preserve">[Medium]</w:t>
            </w:r>
          </w:p>
        </w:tc>
        <w:tc>
          <w:tcPr>
            <w:tcW w:type="dxa" w:w="2600"/>
            <w:tcBorders>
              <w:top w:val="single" w:color="CBD5E0" w:sz="1"/>
              <w:left w:val="single" w:color="CBD5E0" w:sz="1"/>
              <w:bottom w:val="single" w:color="CBD5E0" w:sz="1"/>
              <w:right w:val="single" w:color="CBD5E0" w:sz="1"/>
            </w:tcBorders>
          </w:tcPr>
          <w:p>
            <w:r>
              <w:rPr>
                <w:rFonts w:ascii="Arial" w:cs="Arial" w:eastAsia="Arial" w:hAnsi="Arial"/>
                <w:b/>
                <w:bCs/>
                <w:color w:val="2D3748"/>
                <w:sz w:val="18"/>
                <w:szCs w:val="18"/>
              </w:rPr>
              <w:t xml:space="preserve">Neo4j 폐기와 관계 모델링 대안</w:t>
            </w:r>
          </w:p>
        </w:tc>
        <w:tc>
          <w:tcPr>
            <w:tcW w:type="dxa" w:w="4960"/>
            <w:tcBorders>
              <w:top w:val="single" w:color="CBD5E0" w:sz="1"/>
              <w:left w:val="single" w:color="CBD5E0" w:sz="1"/>
              <w:bottom w:val="single" w:color="CBD5E0" w:sz="1"/>
              <w:right w:val="single" w:color="CBD5E0" w:sz="1"/>
            </w:tcBorders>
          </w:tcPr>
          <w:p>
            <w:r>
              <w:rPr>
                <w:rFonts w:ascii="Arial" w:cs="Arial" w:eastAsia="Arial" w:hAnsi="Arial"/>
                <w:color w:val="2D3748"/>
                <w:sz w:val="18"/>
                <w:szCs w:val="18"/>
              </w:rPr>
              <w:t xml:space="preserve">Neo4j를 폐기하면 엔티티 간 관계 모델링(명세↔코드↔테스트 추적성)을 PostgreSQL로 대체해야 합니다. PostgreSQL의 JSONB + 재귀 CTE로 충분한지, 그래프 질의 복잡도가 높아지면 성능 문제가 발생할 수 있습니다. SDD Triangle의 추적성 그래프가 얼마나 복잡해질지 예측이 필요합니다.</w:t>
            </w:r>
          </w:p>
        </w:tc>
      </w:tr>
    </w:tbl>
    <w:p>
      <w:pPr>
        <w:pStyle w:val="Heading2"/>
      </w:pPr>
      <w:r>
        <w:rPr>
          <w:rFonts w:ascii="Arial" w:cs="Arial" w:eastAsia="Arial" w:hAnsi="Arial"/>
        </w:rPr>
        <w:t xml:space="preserve">4.2 재활용 판정 항목 검토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600"/>
        <w:gridCol w:w="4960"/>
      </w:tblGrid>
      <w:tr>
        <w:tc>
          <w:tcPr>
            <w:tcW w:type="dxa" w:w="600"/>
            <w:tcBorders>
              <w:top w:val="single" w:color="CBD5E0" w:sz="1"/>
              <w:left w:val="single" w:color="CBD5E0" w:sz="1"/>
              <w:bottom w:val="single" w:color="CBD5E0" w:sz="1"/>
              <w:right w:val="single" w:color="CBD5E0" w:sz="1"/>
            </w:tcBorders>
            <w:shd w:fill="1A365D" w:val="clear"/>
          </w:tcPr>
          <w:p>
            <w:r>
              <w:rPr>
                <w:rFonts w:ascii="Arial" w:cs="Arial" w:eastAsia="Arial" w:hAnsi="Arial"/>
                <w:b/>
                <w:bCs/>
                <w:color w:val="FFFFFF"/>
                <w:sz w:val="18"/>
                <w:szCs w:val="18"/>
              </w:rPr>
              <w:t xml:space="preserve">ID</w:t>
            </w:r>
          </w:p>
        </w:tc>
        <w:tc>
          <w:tcPr>
            <w:tcW w:type="dxa" w:w="1200"/>
            <w:tcBorders>
              <w:top w:val="single" w:color="CBD5E0" w:sz="1"/>
              <w:left w:val="single" w:color="CBD5E0" w:sz="1"/>
              <w:bottom w:val="single" w:color="CBD5E0" w:sz="1"/>
              <w:right w:val="single" w:color="CBD5E0" w:sz="1"/>
            </w:tcBorders>
            <w:shd w:fill="1A365D" w:val="clear"/>
          </w:tcPr>
          <w:p>
            <w:r>
              <w:rPr>
                <w:rFonts w:ascii="Arial" w:cs="Arial" w:eastAsia="Arial" w:hAnsi="Arial"/>
                <w:b/>
                <w:bCs/>
                <w:color w:val="FFFFFF"/>
                <w:sz w:val="18"/>
                <w:szCs w:val="18"/>
              </w:rPr>
              <w:t xml:space="preserve">심각도</w:t>
            </w:r>
          </w:p>
        </w:tc>
        <w:tc>
          <w:tcPr>
            <w:tcW w:type="dxa" w:w="2600"/>
            <w:tcBorders>
              <w:top w:val="single" w:color="CBD5E0" w:sz="1"/>
              <w:left w:val="single" w:color="CBD5E0" w:sz="1"/>
              <w:bottom w:val="single" w:color="CBD5E0" w:sz="1"/>
              <w:right w:val="single" w:color="CBD5E0" w:sz="1"/>
            </w:tcBorders>
            <w:shd w:fill="1A365D" w:val="clear"/>
          </w:tcPr>
          <w:p>
            <w:r>
              <w:rPr>
                <w:rFonts w:ascii="Arial" w:cs="Arial" w:eastAsia="Arial" w:hAnsi="Arial"/>
                <w:b/>
                <w:bCs/>
                <w:color w:val="FFFFFF"/>
                <w:sz w:val="18"/>
                <w:szCs w:val="18"/>
              </w:rPr>
              <w:t xml:space="preserve">항목</w:t>
            </w:r>
          </w:p>
        </w:tc>
        <w:tc>
          <w:tcPr>
            <w:tcW w:type="dxa" w:w="4960"/>
            <w:tcBorders>
              <w:top w:val="single" w:color="CBD5E0" w:sz="1"/>
              <w:left w:val="single" w:color="CBD5E0" w:sz="1"/>
              <w:bottom w:val="single" w:color="CBD5E0" w:sz="1"/>
              <w:right w:val="single" w:color="CBD5E0" w:sz="1"/>
            </w:tcBorders>
            <w:shd w:fill="1A365D" w:val="clear"/>
          </w:tcPr>
          <w:p>
            <w:r>
              <w:rPr>
                <w:rFonts w:ascii="Arial" w:cs="Arial" w:eastAsia="Arial" w:hAnsi="Arial"/>
                <w:b/>
                <w:bCs/>
                <w:color w:val="FFFFFF"/>
                <w:sz w:val="18"/>
                <w:szCs w:val="18"/>
              </w:rPr>
              <w:t xml:space="preserve">상세 설명</w:t>
            </w:r>
          </w:p>
        </w:tc>
      </w:tr>
      <w:tr>
        <w:tc>
          <w:tcPr>
            <w:tcW w:type="dxa" w:w="600"/>
            <w:tcBorders>
              <w:top w:val="single" w:color="CBD5E0" w:sz="1"/>
              <w:left w:val="single" w:color="CBD5E0" w:sz="1"/>
              <w:bottom w:val="single" w:color="CBD5E0" w:sz="1"/>
              <w:right w:val="single" w:color="CBD5E0" w:sz="1"/>
            </w:tcBorders>
          </w:tcPr>
          <w:p>
            <w:r>
              <w:rPr>
                <w:rFonts w:ascii="Arial" w:cs="Arial" w:eastAsia="Arial" w:hAnsi="Arial"/>
                <w:b/>
                <w:bCs/>
                <w:color w:val="2B6CB0"/>
                <w:sz w:val="18"/>
                <w:szCs w:val="18"/>
              </w:rPr>
              <w:t xml:space="preserve">R-03</w:t>
            </w:r>
          </w:p>
        </w:tc>
        <w:tc>
          <w:tcPr>
            <w:tcW w:type="dxa" w:w="1200"/>
            <w:tcBorders>
              <w:top w:val="single" w:color="CBD5E0" w:sz="1"/>
              <w:left w:val="single" w:color="CBD5E0" w:sz="1"/>
              <w:bottom w:val="single" w:color="CBD5E0" w:sz="1"/>
              <w:right w:val="single" w:color="CBD5E0" w:sz="1"/>
            </w:tcBorders>
            <w:shd w:fill="F5F6FA" w:val="clear"/>
          </w:tcPr>
          <w:p>
            <w:r>
              <w:rPr>
                <w:rFonts w:ascii="Arial" w:cs="Arial" w:eastAsia="Arial" w:hAnsi="Arial"/>
                <w:b/>
                <w:bCs/>
                <w:color w:val="E67E22"/>
                <w:sz w:val="20"/>
                <w:szCs w:val="20"/>
              </w:rPr>
              <w:t xml:space="preserve">[High]</w:t>
            </w:r>
          </w:p>
        </w:tc>
        <w:tc>
          <w:tcPr>
            <w:tcW w:type="dxa" w:w="2600"/>
            <w:tcBorders>
              <w:top w:val="single" w:color="CBD5E0" w:sz="1"/>
              <w:left w:val="single" w:color="CBD5E0" w:sz="1"/>
              <w:bottom w:val="single" w:color="CBD5E0" w:sz="1"/>
              <w:right w:val="single" w:color="CBD5E0" w:sz="1"/>
            </w:tcBorders>
          </w:tcPr>
          <w:p>
            <w:r>
              <w:rPr>
                <w:rFonts w:ascii="Arial" w:cs="Arial" w:eastAsia="Arial" w:hAnsi="Arial"/>
                <w:b/>
                <w:bCs/>
                <w:color w:val="2D3748"/>
                <w:sz w:val="18"/>
                <w:szCs w:val="18"/>
              </w:rPr>
              <w:t xml:space="preserve">shared-auth 호환성 검증 필요</w:t>
            </w:r>
          </w:p>
        </w:tc>
        <w:tc>
          <w:tcPr>
            <w:tcW w:type="dxa" w:w="4960"/>
            <w:tcBorders>
              <w:top w:val="single" w:color="CBD5E0" w:sz="1"/>
              <w:left w:val="single" w:color="CBD5E0" w:sz="1"/>
              <w:bottom w:val="single" w:color="CBD5E0" w:sz="1"/>
              <w:right w:val="single" w:color="CBD5E0" w:sz="1"/>
            </w:tcBorders>
          </w:tcPr>
          <w:p>
            <w:r>
              <w:rPr>
                <w:rFonts w:ascii="Arial" w:cs="Arial" w:eastAsia="Arial" w:hAnsi="Arial"/>
                <w:color w:val="2D3748"/>
                <w:sz w:val="18"/>
                <w:szCs w:val="18"/>
              </w:rPr>
              <w:t xml:space="preserve">기존 shared-auth가 새 아키텍처에서 호환되려면: (a) 에이전트용 서비스 계정 인증 지원, (b) 다중 리포 간 토큰 공유 메커니즘, (c) Git provider별 OAuth 플로우 차이 처리가 반영되어야 합니다. 기존 코드가 이 요구사항을 충족하는지 검증 없이 재활용하면 통합 시점에 대규모 리팩토링이 필요할 수 있습니다.</w:t>
            </w:r>
          </w:p>
        </w:tc>
      </w:tr>
      <w:tr>
        <w:tc>
          <w:tcPr>
            <w:tcW w:type="dxa" w:w="600"/>
            <w:tcBorders>
              <w:top w:val="single" w:color="CBD5E0" w:sz="1"/>
              <w:left w:val="single" w:color="CBD5E0" w:sz="1"/>
              <w:bottom w:val="single" w:color="CBD5E0" w:sz="1"/>
              <w:right w:val="single" w:color="CBD5E0" w:sz="1"/>
            </w:tcBorders>
          </w:tcPr>
          <w:p>
            <w:r>
              <w:rPr>
                <w:rFonts w:ascii="Arial" w:cs="Arial" w:eastAsia="Arial" w:hAnsi="Arial"/>
                <w:b/>
                <w:bCs/>
                <w:color w:val="2B6CB0"/>
                <w:sz w:val="18"/>
                <w:szCs w:val="18"/>
              </w:rPr>
              <w:t xml:space="preserve">R-04</w:t>
            </w:r>
          </w:p>
        </w:tc>
        <w:tc>
          <w:tcPr>
            <w:tcW w:type="dxa" w:w="1200"/>
            <w:tcBorders>
              <w:top w:val="single" w:color="CBD5E0" w:sz="1"/>
              <w:left w:val="single" w:color="CBD5E0" w:sz="1"/>
              <w:bottom w:val="single" w:color="CBD5E0" w:sz="1"/>
              <w:right w:val="single" w:color="CBD5E0" w:sz="1"/>
            </w:tcBorders>
            <w:shd w:fill="F5F6FA" w:val="clear"/>
          </w:tcPr>
          <w:p>
            <w:r>
              <w:rPr>
                <w:rFonts w:ascii="Arial" w:cs="Arial" w:eastAsia="Arial" w:hAnsi="Arial"/>
                <w:b/>
                <w:bCs/>
                <w:color w:val="27AE60"/>
                <w:sz w:val="20"/>
                <w:szCs w:val="20"/>
              </w:rPr>
              <w:t xml:space="preserve">[Low]</w:t>
            </w:r>
          </w:p>
        </w:tc>
        <w:tc>
          <w:tcPr>
            <w:tcW w:type="dxa" w:w="2600"/>
            <w:tcBorders>
              <w:top w:val="single" w:color="CBD5E0" w:sz="1"/>
              <w:left w:val="single" w:color="CBD5E0" w:sz="1"/>
              <w:bottom w:val="single" w:color="CBD5E0" w:sz="1"/>
              <w:right w:val="single" w:color="CBD5E0" w:sz="1"/>
            </w:tcBorders>
          </w:tcPr>
          <w:p>
            <w:r>
              <w:rPr>
                <w:rFonts w:ascii="Arial" w:cs="Arial" w:eastAsia="Arial" w:hAnsi="Arial"/>
                <w:b/>
                <w:bCs/>
                <w:color w:val="2D3748"/>
                <w:sz w:val="18"/>
                <w:szCs w:val="18"/>
              </w:rPr>
              <w:t xml:space="preserve">DDL 재활용 시 스키마 마이그레이션</w:t>
            </w:r>
          </w:p>
        </w:tc>
        <w:tc>
          <w:tcPr>
            <w:tcW w:type="dxa" w:w="4960"/>
            <w:tcBorders>
              <w:top w:val="single" w:color="CBD5E0" w:sz="1"/>
              <w:left w:val="single" w:color="CBD5E0" w:sz="1"/>
              <w:bottom w:val="single" w:color="CBD5E0" w:sz="1"/>
              <w:right w:val="single" w:color="CBD5E0" w:sz="1"/>
            </w:tcBorders>
          </w:tcPr>
          <w:p>
            <w:r>
              <w:rPr>
                <w:rFonts w:ascii="Arial" w:cs="Arial" w:eastAsia="Arial" w:hAnsi="Arial"/>
                <w:color w:val="2D3748"/>
                <w:sz w:val="18"/>
                <w:szCs w:val="18"/>
              </w:rPr>
              <w:t xml:space="preserve">기존 DDL을 재활용하더라도 새 아키텍처의 추가 요구사항(에이전트 세션, SDD 메타데이터, 충돌 로그 등)에 맞춰 스키마 마이그레이션이 필요합니다. 마이그레이션 전략(Prisma migrate 등)이 정의되어 있는지 확인이 필요합니다.</w:t>
            </w:r>
          </w:p>
        </w:tc>
      </w:tr>
    </w:tbl>
    <w:p>
      <w:pPr>
        <w:spacing w:after="100" w:before="200"/>
      </w:pPr>
    </w:p>
    <w:p>
      <w:pPr>
        <w:pStyle w:val="Heading1"/>
      </w:pPr>
      <w:r>
        <w:rPr>
          <w:rFonts w:ascii="Arial" w:cs="Arial" w:eastAsia="Arial" w:hAnsi="Arial"/>
        </w:rPr>
        <w:t xml:space="preserve">5. 착수 판단 (Go/No-Go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single" w:color="CBD5E0" w:sz="1"/>
              <w:bottom w:val="single" w:color="CBD5E0" w:sz="1"/>
              <w:right w:val="single" w:color="CBD5E0" w:sz="1"/>
            </w:tcBorders>
            <w:shd w:fill="FFFBEB" w:val="clear"/>
          </w:tcPr>
          <w:p>
            <w:pPr>
              <w:spacing w:after="160"/>
            </w:pPr>
            <w:r>
              <w:rPr>
                <w:rFonts w:ascii="Arial" w:cs="Arial" w:eastAsia="Arial" w:hAnsi="Arial"/>
                <w:b/>
                <w:bCs/>
                <w:color w:val="E67E22"/>
                <w:sz w:val="28"/>
                <w:szCs w:val="28"/>
              </w:rPr>
              <w:t xml:space="preserve">판정: Conditional (Ready with conditions)</w:t>
            </w:r>
          </w:p>
          <w:p>
            <w:pPr>
              <w:spacing w:after="120"/>
            </w:pPr>
            <w:r>
              <w:rPr>
                <w:rFonts w:ascii="Arial" w:cs="Arial" w:eastAsia="Arial" w:hAnsi="Arial"/>
                <w:color w:val="2D3748"/>
                <w:sz w:val="20"/>
                <w:szCs w:val="20"/>
              </w:rPr>
              <w:t xml:space="preserve">아키텍처의 기본 방향(Git 중심 SSOT, 멀티리포, SDD 기반 개발)은 타당하며 착수 가치가 있습니다. 다만, 아래 3건의 Critical 이슈가 해결되지 않으면 Sprint 1에서 기술 부채가 누적됩니다.</w:t>
            </w:r>
          </w:p>
        </w:tc>
      </w:tr>
    </w:tbl>
    <w:p>
      <w:pPr>
        <w:spacing w:after="100" w:before="200"/>
      </w:pPr>
    </w:p>
    <w:p>
      <w:pPr>
        <w:pStyle w:val="Heading2"/>
      </w:pPr>
      <w:r>
        <w:rPr>
          <w:rFonts w:ascii="Arial" w:cs="Arial" w:eastAsia="Arial" w:hAnsi="Arial"/>
        </w:rPr>
        <w:t xml:space="preserve">5.1 착수 전 필수 해결 조건 (Must-Have)</w:t>
      </w:r>
    </w:p>
    <w:p>
      <w:pPr>
        <w:spacing w:after="120"/>
      </w:pPr>
      <w:r>
        <w:rPr>
          <w:rFonts w:ascii="Arial" w:cs="Arial" w:eastAsia="Arial" w:hAnsi="Arial"/>
          <w:color w:val="2D3748"/>
          <w:sz w:val="20"/>
          <w:szCs w:val="20"/>
        </w:rPr>
        <w:t xml:space="preserve">1. [S-01] SDD Engine ↔ API Server 간 IDL 기반 통신 계약 정의 (OpenAPI 3.1 또는 gRPC proto 권장)</w:t>
      </w:r>
    </w:p>
    <w:p>
      <w:pPr>
        <w:spacing w:after="120"/>
      </w:pPr>
      <w:r>
        <w:rPr>
          <w:rFonts w:ascii="Arial" w:cs="Arial" w:eastAsia="Arial" w:hAnsi="Arial"/>
          <w:color w:val="2D3748"/>
          <w:sz w:val="20"/>
          <w:szCs w:val="20"/>
        </w:rPr>
        <w:t xml:space="preserve">2. [E-01] 에이전트 간 동시 파일 수정 충돌 해결 전략 확정 및 문서화</w:t>
      </w:r>
    </w:p>
    <w:p>
      <w:pPr>
        <w:spacing w:after="120"/>
      </w:pPr>
      <w:r>
        <w:rPr>
          <w:rFonts w:ascii="Arial" w:cs="Arial" w:eastAsia="Arial" w:hAnsi="Arial"/>
          <w:color w:val="2D3748"/>
          <w:sz w:val="20"/>
          <w:szCs w:val="20"/>
        </w:rPr>
        <w:t xml:space="preserve">3. [D-01] Plumb(Python) ↔ TypeScript 시스템 통합 방식 및 배포 전략 확정</w:t>
      </w:r>
    </w:p>
    <w:p>
      <w:pPr>
        <w:pStyle w:val="Heading2"/>
      </w:pPr>
      <w:r>
        <w:rPr>
          <w:rFonts w:ascii="Arial" w:cs="Arial" w:eastAsia="Arial" w:hAnsi="Arial"/>
        </w:rPr>
        <w:t xml:space="preserve">5.2 Sprint 1 내 해결 권고 (Should-Have)</w:t>
      </w:r>
    </w:p>
    <w:p>
      <w:pPr>
        <w:spacing w:after="120"/>
      </w:pPr>
      <w:r>
        <w:rPr>
          <w:rFonts w:ascii="Arial" w:cs="Arial" w:eastAsia="Arial" w:hAnsi="Arial"/>
          <w:color w:val="2D3748"/>
          <w:sz w:val="20"/>
          <w:szCs w:val="20"/>
        </w:rPr>
        <w:t xml:space="preserve">4. [S-02] 5축 간 이벤트 흐름 DAG 정의로 순환 의존 방지</w:t>
      </w:r>
    </w:p>
    <w:p>
      <w:pPr>
        <w:spacing w:after="120"/>
      </w:pPr>
      <w:r>
        <w:rPr>
          <w:rFonts w:ascii="Arial" w:cs="Arial" w:eastAsia="Arial" w:hAnsi="Arial"/>
          <w:color w:val="2D3748"/>
          <w:sz w:val="20"/>
          <w:szCs w:val="20"/>
        </w:rPr>
        <w:t xml:space="preserve">5. [S-03] Git ↔ PostgreSQL 정합성 보장 및 reconciliation 전략</w:t>
      </w:r>
    </w:p>
    <w:p>
      <w:pPr>
        <w:spacing w:after="120"/>
      </w:pPr>
      <w:r>
        <w:rPr>
          <w:rFonts w:ascii="Arial" w:cs="Arial" w:eastAsia="Arial" w:hAnsi="Arial"/>
          <w:color w:val="2D3748"/>
          <w:sz w:val="20"/>
          <w:szCs w:val="20"/>
        </w:rPr>
        <w:t xml:space="preserve">6. [E-02] Git hook 실패 시 에이전트 복구 플로우</w:t>
      </w:r>
    </w:p>
    <w:p>
      <w:pPr>
        <w:spacing w:after="120"/>
      </w:pPr>
      <w:r>
        <w:rPr>
          <w:rFonts w:ascii="Arial" w:cs="Arial" w:eastAsia="Arial" w:hAnsi="Arial"/>
          <w:color w:val="2D3748"/>
          <w:sz w:val="20"/>
          <w:szCs w:val="20"/>
        </w:rPr>
        <w:t xml:space="preserve">7. [D-02] GitHub/GitLab 추상화 레이어 설계 방침 확정</w:t>
      </w:r>
    </w:p>
    <w:p>
      <w:pPr>
        <w:spacing w:after="120"/>
      </w:pPr>
      <w:r>
        <w:rPr>
          <w:rFonts w:ascii="Arial" w:cs="Arial" w:eastAsia="Arial" w:hAnsi="Arial"/>
          <w:color w:val="2D3748"/>
          <w:sz w:val="20"/>
          <w:szCs w:val="20"/>
        </w:rPr>
        <w:t xml:space="preserve">8. [R-03] shared-auth 호환성 검증 (PoC 수준)</w:t>
      </w:r>
    </w:p>
    <w:p>
      <w:pPr>
        <w:spacing w:after="100" w:before="200"/>
      </w:pPr>
    </w:p>
    <w:p>
      <w:pPr>
        <w:pStyle w:val="Heading2"/>
      </w:pPr>
      <w:r>
        <w:rPr>
          <w:rFonts w:ascii="Arial" w:cs="Arial" w:eastAsia="Arial" w:hAnsi="Arial"/>
        </w:rPr>
        <w:t xml:space="preserve">5.3 추가 권고사항</w:t>
      </w:r>
    </w:p>
    <w:p>
      <w:pPr>
        <w:spacing w:after="120"/>
      </w:pPr>
      <w:r>
        <w:rPr>
          <w:rFonts w:ascii="Arial" w:cs="Arial" w:eastAsia="Arial" w:hAnsi="Arial"/>
          <w:color w:val="2D3748"/>
          <w:sz w:val="20"/>
          <w:szCs w:val="20"/>
        </w:rPr>
        <w:t xml:space="preserve">위 조건들을 ADR(Architecture Decision Record) 형식으로 문서화하여 PRD의 Appendix로 추가하는 것을 권고합니다. 각 결정의 context, decision, consequences를 명시하면 향후 아키텍처 변경 시 추적성이 확보됩니다.</w:t>
      </w:r>
    </w:p>
    <w:p>
      <w:pPr>
        <w:spacing w:after="120"/>
      </w:pPr>
      <w:r>
        <w:rPr>
          <w:rFonts w:ascii="Arial" w:cs="Arial" w:eastAsia="Arial" w:hAnsi="Arial"/>
          <w:color w:val="2D3748"/>
          <w:sz w:val="20"/>
          <w:szCs w:val="20"/>
        </w:rPr>
        <w:t xml:space="preserve">PRD 전문을 제공해주시면, 위 지적사항 외에 더 정밀한 문구 레벨 검토와 누락된 요구사항 발견이 가능합니다.</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65D"/>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B6CB0"/>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2D374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2026-03-16T05:56:14.398Z</dcterms:created>
  <dcterms:modified xsi:type="dcterms:W3CDTF">2026-03-16T05:56:14.399Z</dcterms:modified>
</cp:coreProperties>
</file>

<file path=docProps/custom.xml><?xml version="1.0" encoding="utf-8"?>
<Properties xmlns="http://schemas.openxmlformats.org/officeDocument/2006/custom-properties" xmlns:vt="http://schemas.openxmlformats.org/officeDocument/2006/docPropsVTypes"/>
</file>