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0"/>
        </w:numPr>
        <w:ind w:left="450" w:hanging="0"/>
        <w:jc w:val="center"/>
        <w:rPr/>
      </w:pPr>
      <w:r>
        <w:rPr>
          <w:b/>
        </w:rPr>
        <w:t>3</w:t>
        <w:tab/>
      </w:r>
      <w:r>
        <w:rPr>
          <w:b/>
        </w:rPr>
        <w:t>Ввод начальных остатков</w:t>
      </w:r>
    </w:p>
    <w:p>
      <w:pPr>
        <w:pStyle w:val="Normal"/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360" w:hanging="360"/>
        <w:jc w:val="center"/>
        <w:rPr>
          <w:b/>
          <w:b/>
        </w:rPr>
      </w:pPr>
      <w:r>
        <w:rPr>
          <w:b/>
        </w:rPr>
        <w:t>3.1 Ввод остатков товаров на складах</w:t>
      </w:r>
    </w:p>
    <w:p>
      <w:pPr>
        <w:pStyle w:val="Normal"/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numPr>
          <w:ilvl w:val="2"/>
          <w:numId w:val="2"/>
        </w:numPr>
        <w:tabs>
          <w:tab w:val="clear" w:pos="708"/>
          <w:tab w:val="left" w:pos="720" w:leader="none"/>
        </w:tabs>
        <w:ind w:left="360" w:hanging="360"/>
        <w:rPr/>
      </w:pPr>
      <w:r>
        <w:rPr>
          <w:lang w:eastAsia="zxx" w:bidi="zxx"/>
        </w:rPr>
        <w:t>Введем остатки товаров на основном складе:</w:t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left="360" w:hanging="360"/>
        <w:rPr>
          <w:lang w:eastAsia="zxx" w:bidi="zxx"/>
        </w:rPr>
      </w:pPr>
      <w:r>
        <w:rPr>
          <w:lang w:eastAsia="zxx" w:bidi="zxx"/>
        </w:rPr>
      </w:r>
    </w:p>
    <w:tbl>
      <w:tblPr>
        <w:tblW w:w="6212" w:type="dxa"/>
        <w:jc w:val="left"/>
        <w:tblInd w:w="109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49"/>
        <w:gridCol w:w="1763"/>
      </w:tblGrid>
      <w:tr>
        <w:trPr/>
        <w:tc>
          <w:tcPr>
            <w:tcW w:w="4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Наименование</w:t>
            </w:r>
          </w:p>
        </w:tc>
        <w:tc>
          <w:tcPr>
            <w:tcW w:w="1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количество</w:t>
            </w:r>
          </w:p>
        </w:tc>
      </w:tr>
      <w:tr>
        <w:trPr/>
        <w:tc>
          <w:tcPr>
            <w:tcW w:w="4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Комбайн кухонный BINATONE FP 67</w:t>
            </w:r>
          </w:p>
        </w:tc>
        <w:tc>
          <w:tcPr>
            <w:tcW w:w="17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jc w:val="center"/>
              <w:rPr>
                <w:lang w:eastAsia="zxx" w:bidi="zxx"/>
              </w:rPr>
            </w:pPr>
            <w:r>
              <w:rPr>
                <w:lang w:eastAsia="zxx" w:bidi="zxx"/>
              </w:rPr>
              <w:t>10 шт.</w:t>
            </w:r>
          </w:p>
        </w:tc>
      </w:tr>
      <w:tr>
        <w:trPr/>
        <w:tc>
          <w:tcPr>
            <w:tcW w:w="4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Чайник BINATONE  AEJ-1001,  2,2л</w:t>
            </w:r>
          </w:p>
        </w:tc>
        <w:tc>
          <w:tcPr>
            <w:tcW w:w="176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numPr>
                <w:ilvl w:val="0"/>
                <w:numId w:val="1"/>
              </w:numPr>
              <w:snapToGrid w:val="false"/>
              <w:ind w:left="360" w:hanging="360"/>
              <w:rPr/>
            </w:pPr>
            <w:r>
              <w:rPr>
                <w:lang w:eastAsia="zxx" w:bidi="zxx"/>
              </w:rPr>
              <w:t>шт.</w:t>
            </w:r>
          </w:p>
        </w:tc>
      </w:tr>
    </w:tbl>
    <w:p>
      <w:pPr>
        <w:pStyle w:val="Normal"/>
        <w:tabs>
          <w:tab w:val="clear" w:pos="708"/>
          <w:tab w:val="left" w:pos="1440" w:leader="none"/>
        </w:tabs>
        <w:ind w:left="360" w:hanging="360"/>
        <w:rPr>
          <w:lang w:eastAsia="zxx" w:bidi="zxx"/>
        </w:rPr>
      </w:pPr>
      <w:r>
        <w:rPr>
          <w:lang w:eastAsia="zxx" w:bidi="zxx"/>
        </w:rPr>
      </w:r>
    </w:p>
    <w:p>
      <w:pPr>
        <w:pStyle w:val="Normal"/>
        <w:widowControl w:val="false"/>
        <w:numPr>
          <w:ilvl w:val="2"/>
          <w:numId w:val="2"/>
        </w:numPr>
        <w:tabs>
          <w:tab w:val="clear" w:pos="708"/>
          <w:tab w:val="left" w:pos="720" w:leader="none"/>
        </w:tabs>
        <w:ind w:left="360" w:hanging="360"/>
        <w:rPr>
          <w:lang w:eastAsia="zxx" w:bidi="zxx"/>
        </w:rPr>
      </w:pPr>
      <w:r>
        <w:rPr>
          <w:lang w:eastAsia="zxx" w:bidi="zxx"/>
        </w:rPr>
        <w:t xml:space="preserve">Просмотрите прайс-лист и остатки товаров на складах. </w:t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left="360" w:hanging="360"/>
        <w:rPr>
          <w:lang w:eastAsia="zxx" w:bidi="zxx"/>
        </w:rPr>
      </w:pPr>
      <w:r>
        <w:rPr>
          <w:lang w:eastAsia="zxx" w:bidi="zxx"/>
        </w:rPr>
      </w:r>
    </w:p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</w:r>
    </w:p>
    <w:p>
      <w:pPr>
        <w:pStyle w:val="Normal"/>
        <w:ind w:left="360" w:hanging="360"/>
        <w:jc w:val="center"/>
        <w:rPr>
          <w:b/>
          <w:b/>
          <w:lang w:eastAsia="zxx" w:bidi="zxx"/>
        </w:rPr>
      </w:pPr>
      <w:r>
        <w:rPr>
          <w:b/>
          <w:lang w:eastAsia="zxx" w:bidi="zxx"/>
        </w:rPr>
        <w:t>3.2 Ввод остатков денежных средств</w:t>
      </w:r>
    </w:p>
    <w:p>
      <w:pPr>
        <w:pStyle w:val="Normal"/>
        <w:ind w:left="360" w:hanging="360"/>
        <w:rPr>
          <w:b/>
          <w:b/>
          <w:lang w:eastAsia="zxx" w:bidi="zxx"/>
        </w:rPr>
      </w:pPr>
      <w:r>
        <w:rPr>
          <w:b/>
          <w:lang w:eastAsia="zxx" w:bidi="zxx"/>
        </w:rPr>
      </w:r>
    </w:p>
    <w:p>
      <w:pPr>
        <w:pStyle w:val="Normal"/>
        <w:ind w:left="360" w:hanging="360"/>
        <w:jc w:val="both"/>
        <w:rPr/>
      </w:pPr>
      <w:r>
        <w:rPr/>
        <w:t>3.2.1. Введем остатки денежных средств в основной кассе предприятия в размере 10 000 руб.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  <w:t>3.2.2. Введем остатки денежных средств на банковских счетах предприятия в размере 500 000 руб.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center"/>
        <w:rPr>
          <w:b/>
          <w:b/>
        </w:rPr>
      </w:pPr>
      <w:r>
        <w:rPr>
          <w:b/>
        </w:rPr>
        <w:t>3.3 Ввод остатков задолженностей</w:t>
      </w:r>
    </w:p>
    <w:p>
      <w:pPr>
        <w:pStyle w:val="Normal"/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360" w:hanging="360"/>
        <w:jc w:val="both"/>
        <w:rPr/>
      </w:pPr>
      <w:r>
        <w:rPr/>
        <w:t>Введем задолженность перед поставщиком Магазин «все для дома» в размере 20 000 руб.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Style25"/>
        <w:numPr>
          <w:ilvl w:val="0"/>
          <w:numId w:val="0"/>
        </w:numPr>
        <w:suppressAutoHyphens w:val="false"/>
        <w:spacing w:lineRule="auto" w:line="276" w:before="0" w:after="200"/>
        <w:ind w:left="450" w:right="0" w:hanging="0"/>
        <w:contextualSpacing/>
        <w:jc w:val="center"/>
        <w:rPr>
          <w:szCs w:val="20"/>
          <w:lang w:eastAsia="zxx" w:bidi="zxx"/>
        </w:rPr>
      </w:pPr>
      <w:r>
        <w:rPr>
          <w:szCs w:val="20"/>
          <w:lang w:eastAsia="zxx" w:bidi="zxx"/>
        </w:rPr>
      </w:r>
    </w:p>
    <w:p>
      <w:pPr>
        <w:pStyle w:val="Normal"/>
        <w:ind w:left="360" w:hanging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360"/>
        <w:jc w:val="center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2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"/>
      <w:lvlJc w:val="left"/>
      <w:pPr>
        <w:ind w:left="856" w:hanging="360"/>
      </w:pPr>
      <w:rPr>
        <w:lang w:eastAsia="zxx" w:bidi="zxx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450"/>
      </w:pPr>
      <w:rPr>
        <w:b/>
        <w:szCs w:val="20"/>
        <w:lang w:val="ru-RU" w:eastAsia="zxx" w:bidi="zxx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b/>
        <w:szCs w:val="20"/>
        <w:lang w:val="ru-RU" w:eastAsia="zxx" w:bidi="zxx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b/>
        <w:szCs w:val="20"/>
        <w:lang w:val="ru-RU" w:eastAsia="zxx" w:bidi="zxx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b/>
        <w:szCs w:val="20"/>
        <w:lang w:val="ru-RU" w:eastAsia="zxx" w:bidi="zxx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b/>
        <w:szCs w:val="20"/>
        <w:lang w:val="ru-RU" w:eastAsia="zxx" w:bidi="zxx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b/>
        <w:szCs w:val="20"/>
        <w:lang w:val="ru-RU" w:eastAsia="zxx" w:bidi="zxx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b/>
        <w:szCs w:val="20"/>
        <w:lang w:val="ru-RU" w:eastAsia="zxx" w:bidi="zxx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b/>
        <w:szCs w:val="20"/>
        <w:lang w:val="ru-RU" w:eastAsia="zxx" w:bidi="zxx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b/>
        <w:szCs w:val="20"/>
        <w:lang w:val="ru-RU" w:eastAsia="zxx" w:bidi="zxx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121</TotalTime>
  <Application>LibreOffice/6.2.3.2$Linux_X86_64 LibreOffice_project/20$Build-2</Application>
  <Pages>1</Pages>
  <Words>91</Words>
  <Characters>522</Characters>
  <CharactersWithSpaces>597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2019-05-13T14:21:37Z</dcterms:modified>
  <cp:revision>6</cp:revision>
  <dc:subject/>
  <dc:title/>
</cp:coreProperties>
</file>