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110" w:rsidRDefault="00D04F3B" w:rsidP="003C4110">
      <w:pPr>
        <w:pStyle w:val="Heading1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fldChar w:fldCharType="begin"/>
      </w:r>
      <w:r w:rsidRPr="00B95399">
        <w:rPr>
          <w:rFonts w:ascii="Times New Roman" w:hAnsi="Times New Roman" w:cs="Times New Roman"/>
          <w:b/>
          <w:color w:val="auto"/>
        </w:rPr>
        <w:instrText xml:space="preserve"> MACROBUTTON MTEditEquationSection2 </w:instrText>
      </w:r>
      <w:r w:rsidRPr="00B95399">
        <w:rPr>
          <w:rStyle w:val="MTEquationSection"/>
        </w:rPr>
        <w:instrText>Equation Chapter 1 Section 1</w:instrText>
      </w:r>
      <w:r>
        <w:rPr>
          <w:rFonts w:ascii="Times New Roman" w:hAnsi="Times New Roman" w:cs="Times New Roman"/>
          <w:b/>
          <w:color w:val="auto"/>
        </w:rPr>
        <w:fldChar w:fldCharType="begin"/>
      </w:r>
      <w:r w:rsidRPr="00B95399">
        <w:rPr>
          <w:rFonts w:ascii="Times New Roman" w:hAnsi="Times New Roman" w:cs="Times New Roman"/>
          <w:b/>
          <w:color w:val="auto"/>
        </w:rPr>
        <w:instrText xml:space="preserve"> SEQ MTEqn \r \h \* MERGEFORMAT </w:instrText>
      </w:r>
      <w:r>
        <w:rPr>
          <w:rFonts w:ascii="Times New Roman" w:hAnsi="Times New Roman" w:cs="Times New Roman"/>
          <w:b/>
          <w:color w:val="auto"/>
        </w:rPr>
        <w:fldChar w:fldCharType="end"/>
      </w:r>
      <w:r>
        <w:rPr>
          <w:rFonts w:ascii="Times New Roman" w:hAnsi="Times New Roman" w:cs="Times New Roman"/>
          <w:b/>
          <w:color w:val="auto"/>
        </w:rPr>
        <w:fldChar w:fldCharType="begin"/>
      </w:r>
      <w:r w:rsidRPr="00B95399">
        <w:rPr>
          <w:rFonts w:ascii="Times New Roman" w:hAnsi="Times New Roman" w:cs="Times New Roman"/>
          <w:b/>
          <w:color w:val="auto"/>
        </w:rPr>
        <w:instrText xml:space="preserve"> SEQ MTSec \r 1 \h \* MERGEFORMAT </w:instrText>
      </w:r>
      <w:r>
        <w:rPr>
          <w:rFonts w:ascii="Times New Roman" w:hAnsi="Times New Roman" w:cs="Times New Roman"/>
          <w:b/>
          <w:color w:val="auto"/>
        </w:rPr>
        <w:fldChar w:fldCharType="end"/>
      </w:r>
      <w:r>
        <w:rPr>
          <w:rFonts w:ascii="Times New Roman" w:hAnsi="Times New Roman" w:cs="Times New Roman"/>
          <w:b/>
          <w:color w:val="auto"/>
        </w:rPr>
        <w:fldChar w:fldCharType="begin"/>
      </w:r>
      <w:r w:rsidRPr="00B95399">
        <w:rPr>
          <w:rFonts w:ascii="Times New Roman" w:hAnsi="Times New Roman" w:cs="Times New Roman"/>
          <w:b/>
          <w:color w:val="auto"/>
        </w:rPr>
        <w:instrText xml:space="preserve"> SEQ MTChap \r 1 \h \* MERGEFORMAT </w:instrText>
      </w:r>
      <w:r>
        <w:rPr>
          <w:rFonts w:ascii="Times New Roman" w:hAnsi="Times New Roman" w:cs="Times New Roman"/>
          <w:b/>
          <w:color w:val="auto"/>
        </w:rPr>
        <w:fldChar w:fldCharType="end"/>
      </w:r>
      <w:r>
        <w:rPr>
          <w:rFonts w:ascii="Times New Roman" w:hAnsi="Times New Roman" w:cs="Times New Roman"/>
          <w:b/>
          <w:color w:val="auto"/>
        </w:rPr>
        <w:fldChar w:fldCharType="end"/>
      </w:r>
      <w:r w:rsidR="003C4110" w:rsidRPr="003C4110">
        <w:rPr>
          <w:rFonts w:ascii="Times New Roman" w:hAnsi="Times New Roman" w:cs="Times New Roman"/>
          <w:b/>
          <w:color w:val="auto"/>
        </w:rPr>
        <w:t>F</w:t>
      </w:r>
      <w:r w:rsidR="00B95399" w:rsidRPr="00FD6EF3">
        <w:rPr>
          <w:rFonts w:ascii="Times New Roman" w:hAnsi="Times New Roman" w:cs="Times New Roman"/>
          <w:b/>
          <w:color w:val="auto"/>
        </w:rPr>
        <w:t xml:space="preserve">ormal definitions of </w:t>
      </w:r>
      <w:r w:rsidR="009E173B">
        <w:rPr>
          <w:rFonts w:ascii="Times New Roman" w:hAnsi="Times New Roman" w:cs="Times New Roman"/>
          <w:b/>
          <w:color w:val="auto"/>
        </w:rPr>
        <w:t xml:space="preserve">field normalized citation indicators </w:t>
      </w:r>
      <w:r w:rsidR="003C4110" w:rsidRPr="003C4110">
        <w:rPr>
          <w:rFonts w:ascii="Times New Roman" w:hAnsi="Times New Roman" w:cs="Times New Roman"/>
          <w:b/>
          <w:color w:val="auto"/>
        </w:rPr>
        <w:t xml:space="preserve">and </w:t>
      </w:r>
      <w:r w:rsidR="002308E0">
        <w:rPr>
          <w:rFonts w:ascii="Times New Roman" w:hAnsi="Times New Roman" w:cs="Times New Roman"/>
          <w:b/>
          <w:color w:val="auto"/>
        </w:rPr>
        <w:t xml:space="preserve">their </w:t>
      </w:r>
      <w:r w:rsidR="003C4110">
        <w:rPr>
          <w:rFonts w:ascii="Times New Roman" w:hAnsi="Times New Roman" w:cs="Times New Roman"/>
          <w:b/>
          <w:color w:val="auto"/>
        </w:rPr>
        <w:t>implementation at KTH Royal Institute of Technology</w:t>
      </w:r>
    </w:p>
    <w:p w:rsidR="006B777A" w:rsidRPr="006B777A" w:rsidRDefault="006B777A" w:rsidP="006B777A"/>
    <w:p w:rsidR="006B777A" w:rsidRPr="00344CB3" w:rsidRDefault="006B777A" w:rsidP="006B777A">
      <w:pPr>
        <w:rPr>
          <w:lang w:val="sv-SE"/>
        </w:rPr>
      </w:pPr>
      <w:r w:rsidRPr="00344CB3">
        <w:rPr>
          <w:lang w:val="sv-SE"/>
        </w:rPr>
        <w:t>Per Ahlgren and Peter Sjögårde</w:t>
      </w:r>
      <w:r w:rsidR="00344CB3" w:rsidRPr="00344CB3">
        <w:rPr>
          <w:lang w:val="sv-SE"/>
        </w:rPr>
        <w:t>, 2015-02-17</w:t>
      </w:r>
      <w:bookmarkStart w:id="0" w:name="_GoBack"/>
      <w:bookmarkEnd w:id="0"/>
    </w:p>
    <w:p w:rsidR="003C4110" w:rsidRPr="00344CB3" w:rsidRDefault="003C4110" w:rsidP="003C4110">
      <w:pPr>
        <w:rPr>
          <w:lang w:val="sv-SE"/>
        </w:rPr>
      </w:pPr>
    </w:p>
    <w:p w:rsidR="003C4110" w:rsidRDefault="009A37C3" w:rsidP="003C4110">
      <w:pPr>
        <w:pStyle w:val="Heading2"/>
      </w:pPr>
      <w:r>
        <w:t>Introduction</w:t>
      </w:r>
    </w:p>
    <w:p w:rsidR="00344CB3" w:rsidRDefault="00344CB3" w:rsidP="003C4110"/>
    <w:p w:rsidR="009E173B" w:rsidRDefault="003C4110" w:rsidP="003C4110">
      <w:r>
        <w:t>This document describes the calculation of bibliometric indicators based on field normalization in the bibliometric database at KTH</w:t>
      </w:r>
      <w:r w:rsidR="002308E0">
        <w:t xml:space="preserve"> (</w:t>
      </w:r>
      <w:proofErr w:type="spellStart"/>
      <w:r w:rsidR="002308E0">
        <w:t>Bibmet</w:t>
      </w:r>
      <w:proofErr w:type="spellEnd"/>
      <w:r w:rsidR="002308E0">
        <w:t>),</w:t>
      </w:r>
      <w:r>
        <w:t xml:space="preserve"> </w:t>
      </w:r>
      <w:r w:rsidR="002308E0">
        <w:t xml:space="preserve">which is based on Web of Science data. </w:t>
      </w:r>
      <w:r>
        <w:t>The i</w:t>
      </w:r>
      <w:r w:rsidR="009E173B">
        <w:t>ndicators are described in Part </w:t>
      </w:r>
      <w:r>
        <w:t xml:space="preserve">1 and aspects regarding implementation in the KTH database are addressed in </w:t>
      </w:r>
      <w:r w:rsidRPr="009E173B">
        <w:t>Part</w:t>
      </w:r>
      <w:r w:rsidR="009E173B">
        <w:t> </w:t>
      </w:r>
      <w:r w:rsidRPr="009E173B">
        <w:t>2</w:t>
      </w:r>
      <w:r>
        <w:t>.</w:t>
      </w:r>
      <w:r w:rsidR="009E173B">
        <w:t xml:space="preserve"> </w:t>
      </w:r>
    </w:p>
    <w:p w:rsidR="009E173B" w:rsidRDefault="009E173B" w:rsidP="003C4110"/>
    <w:p w:rsidR="003C4110" w:rsidRDefault="009E173B" w:rsidP="003C4110">
      <w:r>
        <w:t>The following indicators are defined in this document:</w:t>
      </w:r>
    </w:p>
    <w:p w:rsidR="009E173B" w:rsidRDefault="009E173B" w:rsidP="009E173B">
      <w:pPr>
        <w:pStyle w:val="ListParagraph"/>
        <w:numPr>
          <w:ilvl w:val="0"/>
          <w:numId w:val="3"/>
        </w:numPr>
      </w:pPr>
      <w:r w:rsidRPr="009E173B">
        <w:t>mean field</w:t>
      </w:r>
      <w:r>
        <w:t xml:space="preserve"> normalized citation rate (</w:t>
      </w:r>
      <w:proofErr w:type="spellStart"/>
      <w:r>
        <w:t>cf</w:t>
      </w:r>
      <w:proofErr w:type="spellEnd"/>
      <w:r>
        <w:t>)</w:t>
      </w:r>
    </w:p>
    <w:p w:rsidR="009E173B" w:rsidRDefault="009E173B" w:rsidP="009E173B">
      <w:pPr>
        <w:pStyle w:val="ListParagraph"/>
        <w:numPr>
          <w:ilvl w:val="0"/>
          <w:numId w:val="3"/>
        </w:numPr>
      </w:pPr>
      <w:r>
        <w:t>top10% publications (ptop10%)</w:t>
      </w:r>
    </w:p>
    <w:p w:rsidR="009E173B" w:rsidRDefault="009E173B" w:rsidP="009E173B">
      <w:pPr>
        <w:pStyle w:val="ListParagraph"/>
        <w:numPr>
          <w:ilvl w:val="0"/>
          <w:numId w:val="3"/>
        </w:numPr>
      </w:pPr>
      <w:r w:rsidRPr="009E173B">
        <w:t>mean field n</w:t>
      </w:r>
      <w:r>
        <w:t>ormalized journal impact (</w:t>
      </w:r>
      <w:proofErr w:type="spellStart"/>
      <w:r>
        <w:t>jcf</w:t>
      </w:r>
      <w:proofErr w:type="spellEnd"/>
      <w:r>
        <w:t>)</w:t>
      </w:r>
    </w:p>
    <w:p w:rsidR="009E173B" w:rsidRDefault="009E173B" w:rsidP="009E173B">
      <w:pPr>
        <w:pStyle w:val="ListParagraph"/>
        <w:numPr>
          <w:ilvl w:val="0"/>
          <w:numId w:val="3"/>
        </w:numPr>
      </w:pPr>
      <w:proofErr w:type="gramStart"/>
      <w:r w:rsidRPr="009E173B">
        <w:t>proportion</w:t>
      </w:r>
      <w:proofErr w:type="gramEnd"/>
      <w:r w:rsidRPr="009E173B">
        <w:t xml:space="preserve"> publications in the 20% most frequently cited journals in the field (jtop20%)</w:t>
      </w:r>
    </w:p>
    <w:p w:rsidR="00BE0524" w:rsidRDefault="00BE0524" w:rsidP="003C4110">
      <w:pPr>
        <w:pStyle w:val="Heading2"/>
      </w:pPr>
    </w:p>
    <w:p w:rsidR="00C47D8F" w:rsidRPr="00FD6EF3" w:rsidRDefault="003C4110" w:rsidP="003C4110">
      <w:pPr>
        <w:pStyle w:val="Heading2"/>
      </w:pPr>
      <w:r>
        <w:t xml:space="preserve">Part </w:t>
      </w:r>
      <w:r w:rsidR="008B07D9" w:rsidRPr="00FD6EF3">
        <w:t xml:space="preserve">1 </w:t>
      </w:r>
      <w:r w:rsidR="00B95399" w:rsidRPr="003C4110">
        <w:t>Definitions</w:t>
      </w:r>
    </w:p>
    <w:p w:rsidR="00344CB3" w:rsidRDefault="00344CB3" w:rsidP="00FA040C">
      <w:pPr>
        <w:jc w:val="both"/>
      </w:pPr>
    </w:p>
    <w:p w:rsidR="00DE0B46" w:rsidRDefault="00DE0B46" w:rsidP="00FA040C">
      <w:pPr>
        <w:jc w:val="both"/>
      </w:pPr>
      <w:r>
        <w:t xml:space="preserve">This document treats the case, in which fractional counts are used in the calculations of indicator values. In case whole counts should be used in the calculations, </w:t>
      </w:r>
      <w:proofErr w:type="spellStart"/>
      <w:r w:rsidR="00DF0987" w:rsidRPr="00DF0987">
        <w:rPr>
          <w:i/>
        </w:rPr>
        <w:t>a</w:t>
      </w:r>
      <w:r w:rsidR="00DF0987" w:rsidRPr="00DF0987">
        <w:rPr>
          <w:i/>
          <w:vertAlign w:val="subscript"/>
        </w:rPr>
        <w:t>i</w:t>
      </w:r>
      <w:proofErr w:type="spellEnd"/>
      <w:r w:rsidR="00DF0987">
        <w:t xml:space="preserve"> in Eq.</w:t>
      </w:r>
      <w:r>
        <w:t xml:space="preserve"> (1) </w:t>
      </w:r>
      <w:r w:rsidR="00347F5F">
        <w:t xml:space="preserve">below </w:t>
      </w:r>
      <w:r>
        <w:t>is set to unity.</w:t>
      </w:r>
    </w:p>
    <w:p w:rsidR="00DE0B46" w:rsidRDefault="00DE0B46" w:rsidP="00FA040C">
      <w:pPr>
        <w:jc w:val="both"/>
      </w:pPr>
    </w:p>
    <w:p w:rsidR="00CF74FA" w:rsidRDefault="00FD6EF3" w:rsidP="00FA040C">
      <w:pPr>
        <w:jc w:val="both"/>
      </w:pPr>
      <w:r w:rsidRPr="00FD6EF3">
        <w:t xml:space="preserve">Let </w:t>
      </w:r>
      <w:r w:rsidRPr="00711E09">
        <w:t>A</w:t>
      </w:r>
      <w:r w:rsidRPr="00FD6EF3">
        <w:t xml:space="preserve"> be a unit of analysis</w:t>
      </w:r>
      <w:r w:rsidR="00C5179A">
        <w:t>,</w:t>
      </w:r>
      <w:r w:rsidRPr="00FD6EF3">
        <w:t xml:space="preserve"> and </w:t>
      </w:r>
      <w:proofErr w:type="spellStart"/>
      <w:r w:rsidRPr="006F664E">
        <w:rPr>
          <w:i/>
        </w:rPr>
        <w:t>n</w:t>
      </w:r>
      <w:proofErr w:type="spellEnd"/>
      <w:r w:rsidRPr="00FD6EF3">
        <w:t xml:space="preserve"> the number of publications for </w:t>
      </w:r>
      <w:r w:rsidRPr="00711E09">
        <w:t>A</w:t>
      </w:r>
      <w:r w:rsidR="009B5C14">
        <w:t xml:space="preserve">. </w:t>
      </w:r>
      <w:r w:rsidRPr="00FD6EF3">
        <w:t>Le</w:t>
      </w:r>
      <w:r w:rsidR="009B5C14">
        <w:t>t</w:t>
      </w:r>
      <w:r w:rsidRPr="00FD6EF3">
        <w:t xml:space="preserve"> </w:t>
      </w:r>
      <w:proofErr w:type="spellStart"/>
      <w:proofErr w:type="gramStart"/>
      <w:r w:rsidRPr="006F664E">
        <w:rPr>
          <w:i/>
        </w:rPr>
        <w:t>r</w:t>
      </w:r>
      <w:r w:rsidRPr="00711E09">
        <w:rPr>
          <w:i/>
          <w:vertAlign w:val="subscript"/>
        </w:rPr>
        <w:t>i</w:t>
      </w:r>
      <w:proofErr w:type="spellEnd"/>
      <w:proofErr w:type="gramEnd"/>
      <w:r w:rsidRPr="00FD6EF3">
        <w:t xml:space="preserve"> be the number of authors</w:t>
      </w:r>
      <w:r>
        <w:t xml:space="preserve"> of the </w:t>
      </w:r>
      <w:proofErr w:type="spellStart"/>
      <w:r w:rsidRPr="006F664E">
        <w:rPr>
          <w:i/>
        </w:rPr>
        <w:t>i</w:t>
      </w:r>
      <w:r>
        <w:t>th</w:t>
      </w:r>
      <w:proofErr w:type="spellEnd"/>
      <w:r>
        <w:t xml:space="preserve"> publication</w:t>
      </w:r>
      <w:r w:rsidR="00C5179A">
        <w:t xml:space="preserve"> for A</w:t>
      </w:r>
      <w:r>
        <w:t xml:space="preserve">. </w:t>
      </w:r>
      <w:r w:rsidR="004F2B64">
        <w:t xml:space="preserve">Let </w:t>
      </w:r>
      <w:proofErr w:type="spellStart"/>
      <w:r w:rsidR="004F2B64" w:rsidRPr="006F664E">
        <w:rPr>
          <w:i/>
        </w:rPr>
        <w:t>a</w:t>
      </w:r>
      <w:r w:rsidR="004F2B64" w:rsidRPr="00711E09">
        <w:rPr>
          <w:i/>
          <w:vertAlign w:val="subscript"/>
        </w:rPr>
        <w:t>i</w:t>
      </w:r>
      <w:proofErr w:type="spellEnd"/>
      <w:r w:rsidR="004F2B64" w:rsidRPr="00711E09">
        <w:t xml:space="preserve"> </w:t>
      </w:r>
      <w:r w:rsidR="004F2B64">
        <w:t xml:space="preserve">be the </w:t>
      </w:r>
      <w:r w:rsidR="004F2B64" w:rsidRPr="008F246F">
        <w:rPr>
          <w:i/>
        </w:rPr>
        <w:t>fraction</w:t>
      </w:r>
      <w:r w:rsidR="004F2B64">
        <w:t xml:space="preserve"> A has of the </w:t>
      </w:r>
      <w:proofErr w:type="spellStart"/>
      <w:r w:rsidR="004F2B64" w:rsidRPr="006F664E">
        <w:rPr>
          <w:i/>
        </w:rPr>
        <w:t>i</w:t>
      </w:r>
      <w:r w:rsidR="004F2B64">
        <w:t>th</w:t>
      </w:r>
      <w:proofErr w:type="spellEnd"/>
      <w:r w:rsidR="004F2B64">
        <w:t xml:space="preserve"> publication. </w:t>
      </w:r>
      <w:r w:rsidR="00363E02">
        <w:t xml:space="preserve">We </w:t>
      </w:r>
      <w:r w:rsidR="008F246F">
        <w:t xml:space="preserve">consider </w:t>
      </w:r>
      <w:r w:rsidR="00363E02">
        <w:t xml:space="preserve">two cases. </w:t>
      </w:r>
    </w:p>
    <w:p w:rsidR="00CF74FA" w:rsidRDefault="00CF74FA" w:rsidP="00FA040C">
      <w:pPr>
        <w:jc w:val="both"/>
      </w:pPr>
    </w:p>
    <w:p w:rsidR="00363E02" w:rsidRDefault="00363E02" w:rsidP="00FA040C">
      <w:pPr>
        <w:jc w:val="both"/>
      </w:pPr>
      <w:r>
        <w:t>(</w:t>
      </w:r>
      <w:r w:rsidR="00350BE8">
        <w:rPr>
          <w:b/>
        </w:rPr>
        <w:t>1</w:t>
      </w:r>
      <w:r>
        <w:t>)</w:t>
      </w:r>
      <w:r w:rsidR="00FD6EF3">
        <w:t xml:space="preserve"> </w:t>
      </w:r>
      <w:r w:rsidR="00FD6EF3" w:rsidRPr="00711E09">
        <w:t>A</w:t>
      </w:r>
      <w:r w:rsidR="00FD6EF3">
        <w:t xml:space="preserve"> is an organization. </w:t>
      </w:r>
      <w:r w:rsidR="000C0508">
        <w:t>W</w:t>
      </w:r>
      <w:r>
        <w:t xml:space="preserve">e </w:t>
      </w:r>
      <w:r w:rsidR="008F246F">
        <w:t>treat</w:t>
      </w:r>
      <w:r>
        <w:t xml:space="preserve"> two subcases. (</w:t>
      </w:r>
      <w:r w:rsidR="00350BE8">
        <w:rPr>
          <w:b/>
        </w:rPr>
        <w:t>1.</w:t>
      </w:r>
      <w:r w:rsidRPr="007D4C4A">
        <w:rPr>
          <w:b/>
        </w:rPr>
        <w:t>1</w:t>
      </w:r>
      <w:r>
        <w:t>)</w:t>
      </w:r>
      <w:r w:rsidR="008F246F">
        <w:t xml:space="preserve"> </w:t>
      </w:r>
      <w:proofErr w:type="spellStart"/>
      <w:r w:rsidR="008F246F" w:rsidRPr="006F664E">
        <w:rPr>
          <w:i/>
        </w:rPr>
        <w:t>a</w:t>
      </w:r>
      <w:r w:rsidR="008F246F" w:rsidRPr="00711E09">
        <w:rPr>
          <w:i/>
          <w:vertAlign w:val="subscript"/>
        </w:rPr>
        <w:t>i</w:t>
      </w:r>
      <w:proofErr w:type="spellEnd"/>
      <w:r w:rsidR="008F246F" w:rsidRPr="00711E09">
        <w:t xml:space="preserve"> </w:t>
      </w:r>
      <w:r w:rsidR="008F246F">
        <w:t>is t</w:t>
      </w:r>
      <w:r w:rsidR="006F664E">
        <w:t xml:space="preserve">he </w:t>
      </w:r>
      <w:r w:rsidR="006F664E" w:rsidRPr="008F246F">
        <w:rPr>
          <w:i/>
        </w:rPr>
        <w:t>author</w:t>
      </w:r>
      <w:r w:rsidR="006F664E" w:rsidRPr="008F246F">
        <w:t xml:space="preserve"> </w:t>
      </w:r>
      <w:r w:rsidR="00FD6EF3" w:rsidRPr="008F246F">
        <w:t>fraction</w:t>
      </w:r>
      <w:r w:rsidR="00FD6EF3">
        <w:t xml:space="preserve"> A has of the </w:t>
      </w:r>
      <w:proofErr w:type="spellStart"/>
      <w:r w:rsidR="00FD6EF3" w:rsidRPr="006F664E">
        <w:rPr>
          <w:i/>
        </w:rPr>
        <w:t>i</w:t>
      </w:r>
      <w:r w:rsidR="008F246F">
        <w:t>th</w:t>
      </w:r>
      <w:proofErr w:type="spellEnd"/>
      <w:r w:rsidR="008F246F">
        <w:t xml:space="preserve"> publication and </w:t>
      </w:r>
      <w:r>
        <w:t>is defined as</w:t>
      </w:r>
    </w:p>
    <w:p w:rsidR="00363E02" w:rsidRDefault="00363E02" w:rsidP="00FA040C">
      <w:pPr>
        <w:pStyle w:val="MTDisplayEquation"/>
        <w:spacing w:line="240" w:lineRule="auto"/>
      </w:pPr>
      <w:r>
        <w:tab/>
      </w:r>
      <w:r w:rsidR="007D4C4A" w:rsidRPr="007D4C4A">
        <w:rPr>
          <w:position w:val="-34"/>
        </w:rPr>
        <w:object w:dxaOrig="1300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5pt;height:41.25pt" o:ole="">
            <v:imagedata r:id="rId9" o:title=""/>
          </v:shape>
          <o:OLEObject Type="Embed" ProgID="Equation.DSMT4" ShapeID="_x0000_i1025" DrawAspect="Content" ObjectID="_1485676496" r:id="rId10"/>
        </w:object>
      </w:r>
      <w:r>
        <w:t xml:space="preserve"> </w:t>
      </w:r>
      <w:r>
        <w:tab/>
      </w:r>
      <w:r w:rsidRPr="007D4C4A">
        <w:rPr>
          <w:rFonts w:ascii="Times New Roman" w:hAnsi="Times New Roman" w:cs="Times New Roman"/>
          <w:sz w:val="24"/>
          <w:szCs w:val="24"/>
        </w:rPr>
        <w:fldChar w:fldCharType="begin"/>
      </w:r>
      <w:r w:rsidRPr="007D4C4A">
        <w:rPr>
          <w:rFonts w:ascii="Times New Roman" w:hAnsi="Times New Roman" w:cs="Times New Roman"/>
          <w:sz w:val="24"/>
          <w:szCs w:val="24"/>
        </w:rPr>
        <w:instrText xml:space="preserve"> MACROBUTTON MTPlaceRef \* MERGEFORMAT </w:instrText>
      </w:r>
      <w:r w:rsidRPr="007D4C4A">
        <w:rPr>
          <w:rFonts w:ascii="Times New Roman" w:hAnsi="Times New Roman" w:cs="Times New Roman"/>
          <w:sz w:val="24"/>
          <w:szCs w:val="24"/>
        </w:rPr>
        <w:fldChar w:fldCharType="begin"/>
      </w:r>
      <w:r w:rsidRPr="007D4C4A">
        <w:rPr>
          <w:rFonts w:ascii="Times New Roman" w:hAnsi="Times New Roman" w:cs="Times New Roman"/>
          <w:sz w:val="24"/>
          <w:szCs w:val="24"/>
        </w:rPr>
        <w:instrText xml:space="preserve"> SEQ MTEqn \h \* MERGEFORMAT </w:instrText>
      </w:r>
      <w:r w:rsidRPr="007D4C4A">
        <w:rPr>
          <w:rFonts w:ascii="Times New Roman" w:hAnsi="Times New Roman" w:cs="Times New Roman"/>
          <w:sz w:val="24"/>
          <w:szCs w:val="24"/>
        </w:rPr>
        <w:fldChar w:fldCharType="end"/>
      </w:r>
      <w:r w:rsidRPr="007D4C4A">
        <w:rPr>
          <w:rFonts w:ascii="Times New Roman" w:hAnsi="Times New Roman" w:cs="Times New Roman"/>
          <w:sz w:val="24"/>
          <w:szCs w:val="24"/>
        </w:rPr>
        <w:instrText>(</w:instrText>
      </w:r>
      <w:r w:rsidRPr="007D4C4A">
        <w:rPr>
          <w:rFonts w:ascii="Times New Roman" w:hAnsi="Times New Roman" w:cs="Times New Roman"/>
          <w:sz w:val="24"/>
          <w:szCs w:val="24"/>
        </w:rPr>
        <w:fldChar w:fldCharType="begin"/>
      </w:r>
      <w:r w:rsidRPr="007D4C4A">
        <w:rPr>
          <w:rFonts w:ascii="Times New Roman" w:hAnsi="Times New Roman" w:cs="Times New Roman"/>
          <w:sz w:val="24"/>
          <w:szCs w:val="24"/>
        </w:rPr>
        <w:instrText xml:space="preserve"> SEQ MTEqn \c \* Arabic \* MERGEFORMAT </w:instrText>
      </w:r>
      <w:r w:rsidRPr="007D4C4A">
        <w:rPr>
          <w:rFonts w:ascii="Times New Roman" w:hAnsi="Times New Roman" w:cs="Times New Roman"/>
          <w:sz w:val="24"/>
          <w:szCs w:val="24"/>
        </w:rPr>
        <w:fldChar w:fldCharType="separate"/>
      </w:r>
      <w:r w:rsidR="00347F5F">
        <w:rPr>
          <w:rFonts w:ascii="Times New Roman" w:hAnsi="Times New Roman" w:cs="Times New Roman"/>
          <w:noProof/>
          <w:sz w:val="24"/>
          <w:szCs w:val="24"/>
        </w:rPr>
        <w:instrText>1</w:instrText>
      </w:r>
      <w:r w:rsidRPr="007D4C4A">
        <w:rPr>
          <w:rFonts w:ascii="Times New Roman" w:hAnsi="Times New Roman" w:cs="Times New Roman"/>
          <w:sz w:val="24"/>
          <w:szCs w:val="24"/>
        </w:rPr>
        <w:fldChar w:fldCharType="end"/>
      </w:r>
      <w:r w:rsidRPr="007D4C4A">
        <w:rPr>
          <w:rFonts w:ascii="Times New Roman" w:hAnsi="Times New Roman" w:cs="Times New Roman"/>
          <w:sz w:val="24"/>
          <w:szCs w:val="24"/>
        </w:rPr>
        <w:instrText>)</w:instrText>
      </w:r>
      <w:r w:rsidRPr="007D4C4A">
        <w:rPr>
          <w:rFonts w:ascii="Times New Roman" w:hAnsi="Times New Roman" w:cs="Times New Roman"/>
          <w:sz w:val="24"/>
          <w:szCs w:val="24"/>
        </w:rPr>
        <w:fldChar w:fldCharType="end"/>
      </w:r>
    </w:p>
    <w:p w:rsidR="00CF74FA" w:rsidRDefault="007D4C4A" w:rsidP="00FA040C">
      <w:pPr>
        <w:jc w:val="both"/>
      </w:pPr>
      <w:r>
        <w:t xml:space="preserve">where </w:t>
      </w:r>
      <w:r w:rsidRPr="0054421A">
        <w:rPr>
          <w:i/>
        </w:rPr>
        <w:t>m</w:t>
      </w:r>
      <w:r w:rsidRPr="0054421A">
        <w:rPr>
          <w:i/>
          <w:vertAlign w:val="subscript"/>
        </w:rPr>
        <w:t>i</w:t>
      </w:r>
      <w:r>
        <w:t xml:space="preserve"> is </w:t>
      </w:r>
      <w:r w:rsidR="00FD6EF3">
        <w:t xml:space="preserve">the number of authors affiliated to </w:t>
      </w:r>
      <w:r w:rsidR="00FD6EF3" w:rsidRPr="00711E09">
        <w:t>A</w:t>
      </w:r>
      <w:r w:rsidR="00FD6EF3">
        <w:t xml:space="preserve"> </w:t>
      </w:r>
      <w:r>
        <w:t xml:space="preserve">regarding the </w:t>
      </w:r>
      <w:proofErr w:type="spellStart"/>
      <w:r w:rsidRPr="006F664E">
        <w:rPr>
          <w:i/>
        </w:rPr>
        <w:t>i</w:t>
      </w:r>
      <w:r>
        <w:t>th</w:t>
      </w:r>
      <w:proofErr w:type="spellEnd"/>
      <w:r>
        <w:t xml:space="preserve"> publication, and </w:t>
      </w:r>
      <w:proofErr w:type="spellStart"/>
      <w:r w:rsidRPr="0054421A">
        <w:rPr>
          <w:i/>
        </w:rPr>
        <w:t>s</w:t>
      </w:r>
      <w:r w:rsidRPr="0054421A">
        <w:rPr>
          <w:i/>
          <w:vertAlign w:val="subscript"/>
        </w:rPr>
        <w:t>j</w:t>
      </w:r>
      <w:proofErr w:type="spellEnd"/>
      <w:r>
        <w:t xml:space="preserve"> the number of affiliations of the </w:t>
      </w:r>
      <w:proofErr w:type="spellStart"/>
      <w:r w:rsidRPr="0054421A">
        <w:rPr>
          <w:i/>
        </w:rPr>
        <w:t>j</w:t>
      </w:r>
      <w:r>
        <w:t>th</w:t>
      </w:r>
      <w:proofErr w:type="spellEnd"/>
      <w:r>
        <w:t xml:space="preserve"> of these A authors.</w:t>
      </w:r>
      <w:r w:rsidR="00D14B2F">
        <w:t xml:space="preserve"> Note that the right-hand side in Eq. (1) is equal to </w:t>
      </w:r>
      <w:r w:rsidR="00D14B2F" w:rsidRPr="00D14B2F">
        <w:rPr>
          <w:position w:val="-12"/>
        </w:rPr>
        <w:object w:dxaOrig="560" w:dyaOrig="360">
          <v:shape id="_x0000_i1026" type="#_x0000_t75" style="width:27.75pt;height:18pt" o:ole="">
            <v:imagedata r:id="rId11" o:title=""/>
          </v:shape>
          <o:OLEObject Type="Embed" ProgID="Equation.DSMT4" ShapeID="_x0000_i1026" DrawAspect="Content" ObjectID="_1485676497" r:id="rId12"/>
        </w:object>
      </w:r>
      <w:r w:rsidR="00D14B2F">
        <w:t xml:space="preserve">when each </w:t>
      </w:r>
      <w:proofErr w:type="gramStart"/>
      <w:r w:rsidR="00D14B2F">
        <w:t>A</w:t>
      </w:r>
      <w:proofErr w:type="gramEnd"/>
      <w:r w:rsidR="00D14B2F">
        <w:t xml:space="preserve"> author has exactly one affiliation.</w:t>
      </w:r>
      <w:r w:rsidR="00CF74FA">
        <w:t xml:space="preserve"> </w:t>
      </w:r>
      <w:r w:rsidR="00FD6EF3">
        <w:t>(</w:t>
      </w:r>
      <w:r w:rsidR="00350BE8">
        <w:rPr>
          <w:b/>
        </w:rPr>
        <w:t>1.2</w:t>
      </w:r>
      <w:r w:rsidR="00350BE8">
        <w:t xml:space="preserve">) </w:t>
      </w:r>
      <w:proofErr w:type="spellStart"/>
      <w:r w:rsidR="008F246F" w:rsidRPr="006F664E">
        <w:rPr>
          <w:i/>
        </w:rPr>
        <w:t>a</w:t>
      </w:r>
      <w:r w:rsidR="008F246F" w:rsidRPr="00711E09">
        <w:rPr>
          <w:i/>
          <w:vertAlign w:val="subscript"/>
        </w:rPr>
        <w:t>i</w:t>
      </w:r>
      <w:proofErr w:type="spellEnd"/>
      <w:r w:rsidR="008F246F" w:rsidRPr="00711E09">
        <w:t xml:space="preserve"> </w:t>
      </w:r>
      <w:r w:rsidR="008F246F">
        <w:t>is t</w:t>
      </w:r>
      <w:r w:rsidR="00FD6EF3">
        <w:t xml:space="preserve">he </w:t>
      </w:r>
      <w:r w:rsidR="00FD6EF3" w:rsidRPr="006F664E">
        <w:rPr>
          <w:i/>
        </w:rPr>
        <w:t xml:space="preserve">organization </w:t>
      </w:r>
      <w:r w:rsidR="00FD6EF3" w:rsidRPr="008F246F">
        <w:t>fraction</w:t>
      </w:r>
      <w:r w:rsidR="00FD6EF3">
        <w:t xml:space="preserve"> </w:t>
      </w:r>
      <w:r w:rsidR="00FD6EF3" w:rsidRPr="00711E09">
        <w:t>A</w:t>
      </w:r>
      <w:r w:rsidR="00FD6EF3">
        <w:t xml:space="preserve"> has of the </w:t>
      </w:r>
      <w:proofErr w:type="spellStart"/>
      <w:r w:rsidR="00FD6EF3" w:rsidRPr="006F664E">
        <w:rPr>
          <w:i/>
        </w:rPr>
        <w:t>i</w:t>
      </w:r>
      <w:r w:rsidR="00220D6D">
        <w:t>th</w:t>
      </w:r>
      <w:proofErr w:type="spellEnd"/>
      <w:r w:rsidR="00220D6D">
        <w:t xml:space="preserve"> publication </w:t>
      </w:r>
      <w:r w:rsidR="008F246F">
        <w:t xml:space="preserve">and </w:t>
      </w:r>
      <w:r w:rsidR="00350BE8">
        <w:t xml:space="preserve">is defined as </w:t>
      </w:r>
      <w:r w:rsidR="00FD6EF3">
        <w:t xml:space="preserve">the number of </w:t>
      </w:r>
      <w:r w:rsidR="006F664E">
        <w:t>occurrences</w:t>
      </w:r>
      <w:r w:rsidR="00FD6EF3">
        <w:t xml:space="preserve"> of</w:t>
      </w:r>
      <w:r w:rsidR="006F664E">
        <w:t xml:space="preserve"> </w:t>
      </w:r>
      <w:r w:rsidR="006F664E" w:rsidRPr="00711E09">
        <w:t>A</w:t>
      </w:r>
      <w:r w:rsidR="009F037C">
        <w:t>’</w:t>
      </w:r>
      <w:r w:rsidR="006F664E">
        <w:t xml:space="preserve">s name in the address field of the </w:t>
      </w:r>
      <w:proofErr w:type="spellStart"/>
      <w:r w:rsidR="006F664E" w:rsidRPr="006F664E">
        <w:rPr>
          <w:i/>
        </w:rPr>
        <w:t>i</w:t>
      </w:r>
      <w:r w:rsidR="006F664E">
        <w:t>th</w:t>
      </w:r>
      <w:proofErr w:type="spellEnd"/>
      <w:r w:rsidR="006F664E">
        <w:t xml:space="preserve"> publication divided by</w:t>
      </w:r>
      <w:r w:rsidR="00FD6EF3">
        <w:t xml:space="preserve"> the total number organization name occurrences in the address field in question.</w:t>
      </w:r>
      <w:r w:rsidR="006F664E">
        <w:t xml:space="preserve"> </w:t>
      </w:r>
    </w:p>
    <w:p w:rsidR="00CF74FA" w:rsidRDefault="00CF74FA" w:rsidP="00FA040C">
      <w:pPr>
        <w:jc w:val="both"/>
      </w:pPr>
    </w:p>
    <w:p w:rsidR="003D5A1C" w:rsidRDefault="00350BE8" w:rsidP="00FA040C">
      <w:pPr>
        <w:jc w:val="both"/>
      </w:pPr>
      <w:r>
        <w:t>(</w:t>
      </w:r>
      <w:r w:rsidRPr="00350BE8">
        <w:rPr>
          <w:b/>
        </w:rPr>
        <w:t>2</w:t>
      </w:r>
      <w:r>
        <w:t xml:space="preserve">) </w:t>
      </w:r>
      <w:r w:rsidR="006F664E" w:rsidRPr="00711E09">
        <w:t>A</w:t>
      </w:r>
      <w:r w:rsidR="006F664E">
        <w:t xml:space="preserve"> is an individual author. </w:t>
      </w:r>
      <w:proofErr w:type="spellStart"/>
      <w:proofErr w:type="gramStart"/>
      <w:r w:rsidR="008F246F" w:rsidRPr="006F664E">
        <w:rPr>
          <w:i/>
        </w:rPr>
        <w:t>a</w:t>
      </w:r>
      <w:r w:rsidR="008F246F" w:rsidRPr="00711E09">
        <w:rPr>
          <w:i/>
          <w:vertAlign w:val="subscript"/>
        </w:rPr>
        <w:t>i</w:t>
      </w:r>
      <w:proofErr w:type="spellEnd"/>
      <w:proofErr w:type="gramEnd"/>
      <w:r w:rsidR="008F246F" w:rsidRPr="00711E09">
        <w:t xml:space="preserve"> </w:t>
      </w:r>
      <w:r w:rsidR="008F246F">
        <w:t>is t</w:t>
      </w:r>
      <w:r w:rsidR="00D14B2F">
        <w:t xml:space="preserve">he </w:t>
      </w:r>
      <w:r w:rsidR="00D14B2F" w:rsidRPr="006F664E">
        <w:rPr>
          <w:i/>
        </w:rPr>
        <w:t xml:space="preserve">author </w:t>
      </w:r>
      <w:r w:rsidR="00D14B2F" w:rsidRPr="008F246F">
        <w:t>fraction</w:t>
      </w:r>
      <w:r w:rsidR="00D14B2F">
        <w:t xml:space="preserve"> A has of the </w:t>
      </w:r>
      <w:proofErr w:type="spellStart"/>
      <w:r w:rsidR="00D14B2F" w:rsidRPr="006F664E">
        <w:rPr>
          <w:i/>
        </w:rPr>
        <w:t>i</w:t>
      </w:r>
      <w:r w:rsidR="00D14B2F">
        <w:t>th</w:t>
      </w:r>
      <w:proofErr w:type="spellEnd"/>
      <w:r w:rsidR="00D14B2F">
        <w:t xml:space="preserve"> publication </w:t>
      </w:r>
      <w:r w:rsidR="003F41DA">
        <w:t xml:space="preserve">and </w:t>
      </w:r>
      <w:r w:rsidR="00BA19DD">
        <w:t xml:space="preserve">is </w:t>
      </w:r>
      <w:r w:rsidR="00136DAB">
        <w:t xml:space="preserve">in this case </w:t>
      </w:r>
      <w:r w:rsidR="00BA19DD">
        <w:t>defined as</w:t>
      </w:r>
      <w:r w:rsidR="00BA19DD" w:rsidRPr="00BA19DD">
        <w:rPr>
          <w:position w:val="-12"/>
        </w:rPr>
        <w:object w:dxaOrig="420" w:dyaOrig="360">
          <v:shape id="_x0000_i1027" type="#_x0000_t75" style="width:20.25pt;height:18pt" o:ole="">
            <v:imagedata r:id="rId13" o:title=""/>
          </v:shape>
          <o:OLEObject Type="Embed" ProgID="Equation.DSMT4" ShapeID="_x0000_i1027" DrawAspect="Content" ObjectID="_1485676498" r:id="rId14"/>
        </w:object>
      </w:r>
      <w:r w:rsidR="00BA19DD">
        <w:t>.</w:t>
      </w:r>
    </w:p>
    <w:p w:rsidR="00344CB3" w:rsidRDefault="00344CB3">
      <w:pPr>
        <w:spacing w:after="160" w:line="259" w:lineRule="auto"/>
      </w:pPr>
      <w:r>
        <w:br w:type="page"/>
      </w:r>
    </w:p>
    <w:p w:rsidR="003D5A1C" w:rsidRPr="00FD6EF3" w:rsidRDefault="003D5A1C" w:rsidP="00FA040C">
      <w:pPr>
        <w:jc w:val="both"/>
      </w:pPr>
    </w:p>
    <w:p w:rsidR="00DC27EA" w:rsidRDefault="00DC27EA" w:rsidP="00FA040C">
      <w:pPr>
        <w:jc w:val="both"/>
        <w:rPr>
          <w:b/>
        </w:rPr>
      </w:pPr>
      <w:r>
        <w:rPr>
          <w:b/>
        </w:rPr>
        <w:t>1</w:t>
      </w:r>
      <w:r w:rsidRPr="00DC27EA">
        <w:rPr>
          <w:b/>
        </w:rPr>
        <w:t>.1 Mean field normalized citation rate</w:t>
      </w:r>
    </w:p>
    <w:p w:rsidR="00B301F8" w:rsidRDefault="00B301F8" w:rsidP="00FA040C">
      <w:pPr>
        <w:jc w:val="both"/>
      </w:pPr>
    </w:p>
    <w:p w:rsidR="006C5F5D" w:rsidRPr="00040737" w:rsidRDefault="006C5F5D" w:rsidP="00FA040C">
      <w:pPr>
        <w:jc w:val="both"/>
      </w:pPr>
      <w:r w:rsidRPr="00040737">
        <w:t xml:space="preserve">We define the </w:t>
      </w:r>
      <w:r w:rsidRPr="00040737">
        <w:rPr>
          <w:i/>
        </w:rPr>
        <w:t>mean field normalized citation rate</w:t>
      </w:r>
      <w:r w:rsidR="00600B1C" w:rsidRPr="00040737">
        <w:t xml:space="preserve"> for</w:t>
      </w:r>
      <w:r w:rsidRPr="00040737">
        <w:t xml:space="preserve"> A, </w:t>
      </w:r>
      <w:proofErr w:type="spellStart"/>
      <w:r w:rsidRPr="00040737">
        <w:rPr>
          <w:i/>
        </w:rPr>
        <w:t>mcf</w:t>
      </w:r>
      <w:proofErr w:type="spellEnd"/>
      <w:r w:rsidRPr="00040737">
        <w:t>(A), as</w:t>
      </w:r>
    </w:p>
    <w:p w:rsidR="006E70A7" w:rsidRPr="00237A7F" w:rsidRDefault="006E70A7" w:rsidP="00FA040C">
      <w:pPr>
        <w:pStyle w:val="MTDisplayEquation"/>
        <w:spacing w:line="240" w:lineRule="auto"/>
        <w:jc w:val="both"/>
      </w:pPr>
      <w:r w:rsidRPr="00FB6440">
        <w:tab/>
      </w:r>
      <w:r w:rsidR="0044164D" w:rsidRPr="003B608E">
        <w:rPr>
          <w:position w:val="-44"/>
        </w:rPr>
        <w:object w:dxaOrig="2180" w:dyaOrig="999">
          <v:shape id="_x0000_i1028" type="#_x0000_t75" style="width:108.75pt;height:50.25pt" o:ole="">
            <v:imagedata r:id="rId15" o:title=""/>
          </v:shape>
          <o:OLEObject Type="Embed" ProgID="Equation.DSMT4" ShapeID="_x0000_i1028" DrawAspect="Content" ObjectID="_1485676499" r:id="rId16"/>
        </w:object>
      </w:r>
      <w:r w:rsidRPr="00237A7F">
        <w:t xml:space="preserve"> </w:t>
      </w:r>
      <w:r w:rsidRPr="00237A7F">
        <w:tab/>
      </w:r>
      <w:r w:rsidR="006C5F5D" w:rsidRPr="00237A7F">
        <w:rPr>
          <w:rFonts w:ascii="Times New Roman" w:hAnsi="Times New Roman" w:cs="Times New Roman"/>
          <w:sz w:val="24"/>
          <w:szCs w:val="24"/>
        </w:rPr>
        <w:t>(</w:t>
      </w:r>
      <w:r w:rsidR="00A90B1D">
        <w:rPr>
          <w:rFonts w:ascii="Times New Roman" w:hAnsi="Times New Roman" w:cs="Times New Roman"/>
          <w:sz w:val="24"/>
          <w:szCs w:val="24"/>
        </w:rPr>
        <w:t>2</w:t>
      </w:r>
      <w:r w:rsidR="006C5F5D" w:rsidRPr="00237A7F">
        <w:rPr>
          <w:rFonts w:ascii="Times New Roman" w:hAnsi="Times New Roman" w:cs="Times New Roman"/>
          <w:sz w:val="24"/>
          <w:szCs w:val="24"/>
        </w:rPr>
        <w:t>)</w:t>
      </w:r>
    </w:p>
    <w:p w:rsidR="006E70A7" w:rsidRPr="00237A7F" w:rsidRDefault="006E70A7" w:rsidP="00FA040C">
      <w:pPr>
        <w:pStyle w:val="MTDisplayEquation"/>
        <w:spacing w:line="240" w:lineRule="auto"/>
        <w:jc w:val="both"/>
      </w:pPr>
      <w:r w:rsidRPr="00237A7F">
        <w:tab/>
      </w:r>
      <w:r w:rsidR="00B86BB7" w:rsidRPr="00B86BB7">
        <w:rPr>
          <w:rFonts w:ascii="Times New Roman" w:hAnsi="Times New Roman" w:cs="Times New Roman"/>
          <w:position w:val="-20"/>
          <w:sz w:val="24"/>
          <w:szCs w:val="24"/>
        </w:rPr>
        <w:object w:dxaOrig="2480" w:dyaOrig="560">
          <v:shape id="_x0000_i1029" type="#_x0000_t75" style="width:124.5pt;height:27.75pt" o:ole="">
            <v:imagedata r:id="rId17" o:title=""/>
          </v:shape>
          <o:OLEObject Type="Embed" ProgID="Equation.DSMT4" ShapeID="_x0000_i1029" DrawAspect="Content" ObjectID="_1485676500" r:id="rId18"/>
        </w:object>
      </w:r>
      <w:r w:rsidRPr="00237A7F">
        <w:t xml:space="preserve"> </w:t>
      </w:r>
    </w:p>
    <w:p w:rsidR="006E70A7" w:rsidRPr="00237A7F" w:rsidRDefault="006E70A7" w:rsidP="00FA040C">
      <w:pPr>
        <w:pStyle w:val="MTDisplayEquation"/>
        <w:spacing w:line="240" w:lineRule="auto"/>
        <w:jc w:val="both"/>
      </w:pPr>
      <w:r w:rsidRPr="00237A7F">
        <w:tab/>
      </w:r>
      <w:r w:rsidR="003519CC" w:rsidRPr="00B450FD">
        <w:rPr>
          <w:rFonts w:ascii="Times New Roman" w:hAnsi="Times New Roman" w:cs="Times New Roman"/>
          <w:position w:val="-46"/>
          <w:sz w:val="24"/>
          <w:szCs w:val="24"/>
        </w:rPr>
        <w:object w:dxaOrig="1939" w:dyaOrig="1040">
          <v:shape id="_x0000_i1030" type="#_x0000_t75" style="width:97.5pt;height:51.75pt" o:ole="">
            <v:imagedata r:id="rId19" o:title=""/>
          </v:shape>
          <o:OLEObject Type="Embed" ProgID="Equation.DSMT4" ShapeID="_x0000_i1030" DrawAspect="Content" ObjectID="_1485676501" r:id="rId20"/>
        </w:object>
      </w:r>
      <w:r w:rsidRPr="00237A7F">
        <w:t xml:space="preserve"> </w:t>
      </w:r>
    </w:p>
    <w:p w:rsidR="0044164D" w:rsidRPr="0044164D" w:rsidRDefault="0044164D" w:rsidP="00FA040C">
      <w:pPr>
        <w:jc w:val="both"/>
      </w:pPr>
      <w:r w:rsidRPr="0044164D">
        <w:t xml:space="preserve">where </w:t>
      </w:r>
      <w:r w:rsidR="00807D2F" w:rsidRPr="006F664E">
        <w:rPr>
          <w:i/>
        </w:rPr>
        <w:t>q</w:t>
      </w:r>
      <w:r w:rsidR="00807D2F" w:rsidRPr="00711E09">
        <w:rPr>
          <w:i/>
          <w:vertAlign w:val="subscript"/>
        </w:rPr>
        <w:t>i</w:t>
      </w:r>
      <w:r w:rsidR="00807D2F" w:rsidRPr="00711E09">
        <w:rPr>
          <w:vertAlign w:val="subscript"/>
        </w:rPr>
        <w:t xml:space="preserve"> </w:t>
      </w:r>
      <w:r w:rsidR="00807D2F" w:rsidRPr="00FD6EF3">
        <w:t>(</w:t>
      </w:r>
      <w:r w:rsidR="00807D2F" w:rsidRPr="006F664E">
        <w:rPr>
          <w:i/>
        </w:rPr>
        <w:t>c</w:t>
      </w:r>
      <w:r w:rsidR="00807D2F" w:rsidRPr="00711E09">
        <w:rPr>
          <w:i/>
          <w:vertAlign w:val="subscript"/>
        </w:rPr>
        <w:t>i</w:t>
      </w:r>
      <w:r w:rsidR="00807D2F" w:rsidRPr="00FD6EF3">
        <w:t xml:space="preserve">) </w:t>
      </w:r>
      <w:r w:rsidR="00807D2F">
        <w:t>is</w:t>
      </w:r>
      <w:r w:rsidR="00807D2F" w:rsidRPr="00FD6EF3">
        <w:t xml:space="preserve"> the number of subject categories (the citation rate) </w:t>
      </w:r>
      <w:r w:rsidR="009B5C14">
        <w:t>of</w:t>
      </w:r>
      <w:r w:rsidR="00807D2F" w:rsidRPr="00FD6EF3">
        <w:t xml:space="preserve"> the </w:t>
      </w:r>
      <w:proofErr w:type="spellStart"/>
      <w:r w:rsidR="00807D2F" w:rsidRPr="006F664E">
        <w:rPr>
          <w:i/>
        </w:rPr>
        <w:t>i</w:t>
      </w:r>
      <w:r w:rsidR="00807D2F" w:rsidRPr="00FD6EF3">
        <w:t>th</w:t>
      </w:r>
      <w:proofErr w:type="spellEnd"/>
      <w:r w:rsidR="00807D2F" w:rsidRPr="00FD6EF3">
        <w:t xml:space="preserve"> publication</w:t>
      </w:r>
      <w:r w:rsidR="001C0D38">
        <w:t xml:space="preserve"> for</w:t>
      </w:r>
      <w:r w:rsidR="00807D2F">
        <w:t xml:space="preserve"> A,</w:t>
      </w:r>
      <w:r w:rsidR="00807D2F" w:rsidRPr="0044164D">
        <w:rPr>
          <w:i/>
        </w:rPr>
        <w:t xml:space="preserve"> </w:t>
      </w:r>
      <w:proofErr w:type="spellStart"/>
      <w:r w:rsidRPr="0044164D">
        <w:rPr>
          <w:i/>
        </w:rPr>
        <w:t>m</w:t>
      </w:r>
      <w:r w:rsidRPr="00962931">
        <w:rPr>
          <w:i/>
          <w:vertAlign w:val="subscript"/>
        </w:rPr>
        <w:t>iq</w:t>
      </w:r>
      <w:proofErr w:type="spellEnd"/>
      <w:r w:rsidRPr="0044164D">
        <w:t xml:space="preserve"> is the number of publications, w</w:t>
      </w:r>
      <w:r>
        <w:t>ith the same publication year and</w:t>
      </w:r>
      <w:r w:rsidRPr="0044164D">
        <w:t xml:space="preserve"> of the same document type</w:t>
      </w:r>
      <w:r>
        <w:t xml:space="preserve"> as the </w:t>
      </w:r>
      <w:proofErr w:type="spellStart"/>
      <w:r w:rsidRPr="0044164D">
        <w:rPr>
          <w:i/>
        </w:rPr>
        <w:t>i</w:t>
      </w:r>
      <w:r>
        <w:t>th</w:t>
      </w:r>
      <w:proofErr w:type="spellEnd"/>
      <w:r>
        <w:t xml:space="preserve"> publication </w:t>
      </w:r>
      <w:r w:rsidR="001C0D38">
        <w:t>for</w:t>
      </w:r>
      <w:r w:rsidR="00807D2F">
        <w:t xml:space="preserve"> A, in the </w:t>
      </w:r>
      <w:proofErr w:type="spellStart"/>
      <w:r w:rsidR="00807D2F" w:rsidRPr="006F664E">
        <w:rPr>
          <w:i/>
        </w:rPr>
        <w:t>q</w:t>
      </w:r>
      <w:r w:rsidR="00807D2F" w:rsidRPr="00FD6EF3">
        <w:t>th</w:t>
      </w:r>
      <w:proofErr w:type="spellEnd"/>
      <w:r w:rsidR="00807D2F" w:rsidRPr="00FD6EF3">
        <w:t xml:space="preserve"> subject category </w:t>
      </w:r>
      <w:r w:rsidR="009B5C14">
        <w:t>of</w:t>
      </w:r>
      <w:r w:rsidR="00807D2F">
        <w:t xml:space="preserve"> the </w:t>
      </w:r>
      <w:proofErr w:type="spellStart"/>
      <w:r w:rsidR="00807D2F" w:rsidRPr="006F664E">
        <w:rPr>
          <w:i/>
        </w:rPr>
        <w:t>i</w:t>
      </w:r>
      <w:r w:rsidR="00807D2F">
        <w:t>th</w:t>
      </w:r>
      <w:proofErr w:type="spellEnd"/>
      <w:r w:rsidR="00807D2F">
        <w:t xml:space="preserve"> publication of A,</w:t>
      </w:r>
      <w:r>
        <w:t xml:space="preserve"> and </w:t>
      </w:r>
      <w:proofErr w:type="spellStart"/>
      <w:r w:rsidRPr="0044164D">
        <w:rPr>
          <w:i/>
        </w:rPr>
        <w:t>c</w:t>
      </w:r>
      <w:r w:rsidRPr="00962931">
        <w:rPr>
          <w:i/>
          <w:vertAlign w:val="subscript"/>
        </w:rPr>
        <w:t>j</w:t>
      </w:r>
      <w:proofErr w:type="spellEnd"/>
      <w:r>
        <w:t xml:space="preserve"> (</w:t>
      </w:r>
      <w:proofErr w:type="spellStart"/>
      <w:r w:rsidRPr="0044164D">
        <w:rPr>
          <w:i/>
        </w:rPr>
        <w:t>F</w:t>
      </w:r>
      <w:r w:rsidRPr="00962931">
        <w:rPr>
          <w:i/>
          <w:vertAlign w:val="subscript"/>
        </w:rPr>
        <w:t>j</w:t>
      </w:r>
      <w:proofErr w:type="spellEnd"/>
      <w:r>
        <w:t xml:space="preserve">) the citation rate </w:t>
      </w:r>
      <w:r w:rsidR="009B5C14">
        <w:t>of</w:t>
      </w:r>
      <w:r>
        <w:t xml:space="preserve"> the </w:t>
      </w:r>
      <w:proofErr w:type="spellStart"/>
      <w:r w:rsidRPr="0044164D">
        <w:rPr>
          <w:i/>
        </w:rPr>
        <w:t>j</w:t>
      </w:r>
      <w:r>
        <w:t>th</w:t>
      </w:r>
      <w:proofErr w:type="spellEnd"/>
      <w:r>
        <w:t xml:space="preserve"> of these publications (the number of subject categories </w:t>
      </w:r>
      <w:r w:rsidR="009B5C14">
        <w:t>of</w:t>
      </w:r>
      <w:r>
        <w:t xml:space="preserve"> the </w:t>
      </w:r>
      <w:proofErr w:type="spellStart"/>
      <w:r w:rsidRPr="0044164D">
        <w:rPr>
          <w:i/>
        </w:rPr>
        <w:t>j</w:t>
      </w:r>
      <w:r>
        <w:t>th</w:t>
      </w:r>
      <w:proofErr w:type="spellEnd"/>
      <w:r>
        <w:t xml:space="preserve"> of these publications). </w:t>
      </w:r>
      <w:r w:rsidRPr="0044164D">
        <w:rPr>
          <w:i/>
        </w:rPr>
        <w:t>µ</w:t>
      </w:r>
      <w:proofErr w:type="spellStart"/>
      <w:r w:rsidRPr="00962931">
        <w:rPr>
          <w:i/>
          <w:vertAlign w:val="subscript"/>
        </w:rPr>
        <w:t>iq</w:t>
      </w:r>
      <w:proofErr w:type="spellEnd"/>
      <w:r>
        <w:t xml:space="preserve"> is the </w:t>
      </w:r>
      <w:r w:rsidRPr="00962931">
        <w:rPr>
          <w:i/>
        </w:rPr>
        <w:t>field reference value</w:t>
      </w:r>
      <w:r>
        <w:t xml:space="preserve"> that the citation rate of the </w:t>
      </w:r>
      <w:proofErr w:type="spellStart"/>
      <w:r w:rsidRPr="00962931">
        <w:rPr>
          <w:i/>
        </w:rPr>
        <w:t>i</w:t>
      </w:r>
      <w:r>
        <w:t>th</w:t>
      </w:r>
      <w:proofErr w:type="spellEnd"/>
      <w:r>
        <w:t xml:space="preserve"> publication, </w:t>
      </w:r>
      <w:r w:rsidRPr="00962931">
        <w:rPr>
          <w:i/>
        </w:rPr>
        <w:t>c</w:t>
      </w:r>
      <w:r w:rsidRPr="00962931">
        <w:rPr>
          <w:i/>
          <w:vertAlign w:val="subscript"/>
        </w:rPr>
        <w:t>i</w:t>
      </w:r>
      <w:r>
        <w:t xml:space="preserve">, is normalized against regarding </w:t>
      </w:r>
      <w:r w:rsidR="00A415F3">
        <w:t>the</w:t>
      </w:r>
      <w:r>
        <w:t xml:space="preserve"> </w:t>
      </w:r>
      <w:proofErr w:type="spellStart"/>
      <w:r w:rsidRPr="00962931">
        <w:rPr>
          <w:i/>
        </w:rPr>
        <w:t>q</w:t>
      </w:r>
      <w:r>
        <w:t>th</w:t>
      </w:r>
      <w:proofErr w:type="spellEnd"/>
      <w:r>
        <w:t xml:space="preserve"> subject category</w:t>
      </w:r>
      <w:r w:rsidR="00A415F3">
        <w:t xml:space="preserve"> of the publication</w:t>
      </w:r>
      <w:r>
        <w:t xml:space="preserve">, and the normalization gives rise to a </w:t>
      </w:r>
      <w:r w:rsidRPr="00962931">
        <w:rPr>
          <w:i/>
        </w:rPr>
        <w:t>field normalized citation rate</w:t>
      </w:r>
      <w:r>
        <w:t xml:space="preserve"> for the publication.</w:t>
      </w:r>
    </w:p>
    <w:p w:rsidR="00DC27EA" w:rsidRDefault="00DC27EA" w:rsidP="00FA040C">
      <w:pPr>
        <w:jc w:val="both"/>
      </w:pPr>
    </w:p>
    <w:p w:rsidR="00DC27EA" w:rsidRPr="00DC27EA" w:rsidRDefault="00DC27EA" w:rsidP="00FA040C">
      <w:pPr>
        <w:jc w:val="both"/>
        <w:rPr>
          <w:b/>
        </w:rPr>
      </w:pPr>
      <w:r w:rsidRPr="00DC27EA">
        <w:rPr>
          <w:b/>
        </w:rPr>
        <w:t xml:space="preserve">1.2. </w:t>
      </w:r>
      <w:proofErr w:type="gramStart"/>
      <w:r w:rsidR="006B777A">
        <w:rPr>
          <w:b/>
        </w:rPr>
        <w:t>p</w:t>
      </w:r>
      <w:r w:rsidRPr="00DC27EA">
        <w:rPr>
          <w:b/>
        </w:rPr>
        <w:t>top10</w:t>
      </w:r>
      <w:proofErr w:type="gramEnd"/>
      <w:r w:rsidRPr="00DC27EA">
        <w:rPr>
          <w:b/>
        </w:rPr>
        <w:t>%</w:t>
      </w:r>
    </w:p>
    <w:p w:rsidR="00DC27EA" w:rsidRDefault="00DC27EA" w:rsidP="00FA040C">
      <w:pPr>
        <w:jc w:val="both"/>
      </w:pPr>
    </w:p>
    <w:p w:rsidR="006E70A7" w:rsidRPr="00305C85" w:rsidRDefault="00305C85" w:rsidP="00FA040C">
      <w:pPr>
        <w:jc w:val="both"/>
      </w:pPr>
      <w:r w:rsidRPr="00305C85">
        <w:t xml:space="preserve">We define </w:t>
      </w:r>
      <w:r w:rsidR="006B777A">
        <w:rPr>
          <w:i/>
        </w:rPr>
        <w:t>p</w:t>
      </w:r>
      <w:r w:rsidRPr="00305C85">
        <w:rPr>
          <w:i/>
        </w:rPr>
        <w:t>top10%</w:t>
      </w:r>
      <w:r w:rsidR="00600B1C">
        <w:t xml:space="preserve"> for</w:t>
      </w:r>
      <w:r w:rsidRPr="00305C85">
        <w:t xml:space="preserve"> A, </w:t>
      </w:r>
      <w:proofErr w:type="gramStart"/>
      <w:r w:rsidR="006B777A">
        <w:rPr>
          <w:i/>
        </w:rPr>
        <w:t>ptop</w:t>
      </w:r>
      <w:r w:rsidRPr="00305C85">
        <w:rPr>
          <w:i/>
        </w:rPr>
        <w:t>10%</w:t>
      </w:r>
      <w:proofErr w:type="gramEnd"/>
      <w:r w:rsidRPr="00305C85">
        <w:rPr>
          <w:i/>
        </w:rPr>
        <w:t>(</w:t>
      </w:r>
      <w:r>
        <w:t>A)</w:t>
      </w:r>
      <w:r w:rsidR="009E675D">
        <w:t>,</w:t>
      </w:r>
      <w:r>
        <w:t xml:space="preserve"> as</w:t>
      </w:r>
    </w:p>
    <w:p w:rsidR="006E70A7" w:rsidRPr="00305C85" w:rsidRDefault="006E70A7" w:rsidP="00FA040C">
      <w:pPr>
        <w:jc w:val="both"/>
      </w:pPr>
    </w:p>
    <w:p w:rsidR="00A22B07" w:rsidRPr="00D75D46" w:rsidRDefault="006E70A7" w:rsidP="00FA040C">
      <w:pPr>
        <w:pStyle w:val="MTDisplayEquation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5C85">
        <w:tab/>
      </w:r>
      <w:r w:rsidR="00B67E24" w:rsidRPr="006F3446">
        <w:rPr>
          <w:position w:val="-44"/>
        </w:rPr>
        <w:object w:dxaOrig="3379" w:dyaOrig="1020">
          <v:shape id="_x0000_i1031" type="#_x0000_t75" style="width:169.5pt;height:51.75pt" o:ole="">
            <v:imagedata r:id="rId21" o:title=""/>
          </v:shape>
          <o:OLEObject Type="Embed" ProgID="Equation.DSMT4" ShapeID="_x0000_i1031" DrawAspect="Content" ObjectID="_1485676502" r:id="rId22"/>
        </w:object>
      </w:r>
      <w:r w:rsidR="00A22B07" w:rsidRPr="00D75D46">
        <w:t xml:space="preserve"> </w:t>
      </w:r>
      <w:r w:rsidR="00A22B07" w:rsidRPr="00D75D46">
        <w:tab/>
      </w:r>
      <w:r w:rsidR="001647F8" w:rsidRPr="00D75D46">
        <w:rPr>
          <w:rFonts w:ascii="Times New Roman" w:hAnsi="Times New Roman" w:cs="Times New Roman"/>
          <w:sz w:val="24"/>
          <w:szCs w:val="24"/>
        </w:rPr>
        <w:t>(</w:t>
      </w:r>
      <w:r w:rsidR="00A90B1D">
        <w:rPr>
          <w:rFonts w:ascii="Times New Roman" w:hAnsi="Times New Roman" w:cs="Times New Roman"/>
          <w:sz w:val="24"/>
          <w:szCs w:val="24"/>
        </w:rPr>
        <w:t>3</w:t>
      </w:r>
      <w:r w:rsidR="001647F8" w:rsidRPr="00D75D46">
        <w:rPr>
          <w:rFonts w:ascii="Times New Roman" w:hAnsi="Times New Roman" w:cs="Times New Roman"/>
          <w:sz w:val="24"/>
          <w:szCs w:val="24"/>
        </w:rPr>
        <w:t>)</w:t>
      </w:r>
    </w:p>
    <w:p w:rsidR="00237A7F" w:rsidRPr="00D75D46" w:rsidRDefault="00925646" w:rsidP="00FA040C">
      <w:pPr>
        <w:pStyle w:val="MTDisplayEquation"/>
        <w:spacing w:line="240" w:lineRule="auto"/>
        <w:jc w:val="both"/>
      </w:pPr>
      <w:r w:rsidRPr="00D75D46">
        <w:rPr>
          <w:rFonts w:ascii="Times New Roman" w:hAnsi="Times New Roman" w:cs="Times New Roman"/>
          <w:sz w:val="24"/>
          <w:szCs w:val="24"/>
        </w:rPr>
        <w:tab/>
      </w:r>
      <w:r w:rsidR="006F3446" w:rsidRPr="006F3446">
        <w:rPr>
          <w:rFonts w:ascii="Times New Roman" w:hAnsi="Times New Roman" w:cs="Times New Roman"/>
          <w:position w:val="-40"/>
          <w:sz w:val="24"/>
          <w:szCs w:val="24"/>
        </w:rPr>
        <w:object w:dxaOrig="4040" w:dyaOrig="920">
          <v:shape id="_x0000_i1032" type="#_x0000_t75" style="width:202.5pt;height:45pt" o:ole="">
            <v:imagedata r:id="rId23" o:title=""/>
          </v:shape>
          <o:OLEObject Type="Embed" ProgID="Equation.DSMT4" ShapeID="_x0000_i1032" DrawAspect="Content" ObjectID="_1485676503" r:id="rId24"/>
        </w:object>
      </w:r>
    </w:p>
    <w:p w:rsidR="00596B4E" w:rsidRDefault="00237A7F" w:rsidP="00FA040C">
      <w:pPr>
        <w:jc w:val="both"/>
        <w:rPr>
          <w:noProof/>
        </w:rPr>
      </w:pPr>
      <w:r w:rsidRPr="00237A7F">
        <w:t>where</w:t>
      </w:r>
      <w:r w:rsidR="006E70A7" w:rsidRPr="00237A7F">
        <w:t xml:space="preserve"> </w:t>
      </w:r>
      <w:r w:rsidR="00A757F8" w:rsidRPr="006F664E">
        <w:rPr>
          <w:i/>
        </w:rPr>
        <w:t>q</w:t>
      </w:r>
      <w:r w:rsidR="00A757F8" w:rsidRPr="00711E09">
        <w:rPr>
          <w:i/>
          <w:vertAlign w:val="subscript"/>
        </w:rPr>
        <w:t>i</w:t>
      </w:r>
      <w:r w:rsidR="00A757F8" w:rsidRPr="00711E09">
        <w:rPr>
          <w:vertAlign w:val="subscript"/>
        </w:rPr>
        <w:t xml:space="preserve"> </w:t>
      </w:r>
      <w:r w:rsidR="00A757F8" w:rsidRPr="00FD6EF3">
        <w:t>(</w:t>
      </w:r>
      <w:r w:rsidR="00A757F8" w:rsidRPr="006F664E">
        <w:rPr>
          <w:i/>
        </w:rPr>
        <w:t>c</w:t>
      </w:r>
      <w:r w:rsidR="00A757F8" w:rsidRPr="00711E09">
        <w:rPr>
          <w:i/>
          <w:vertAlign w:val="subscript"/>
        </w:rPr>
        <w:t>i</w:t>
      </w:r>
      <w:r w:rsidR="00A757F8" w:rsidRPr="00FD6EF3">
        <w:t xml:space="preserve">) </w:t>
      </w:r>
      <w:r w:rsidR="00A757F8">
        <w:t>is</w:t>
      </w:r>
      <w:r w:rsidR="00A757F8" w:rsidRPr="00FD6EF3">
        <w:t xml:space="preserve"> the number of subject categories (the citation rate) </w:t>
      </w:r>
      <w:r w:rsidR="009B5C14">
        <w:t>of</w:t>
      </w:r>
      <w:r w:rsidR="00A757F8" w:rsidRPr="00FD6EF3">
        <w:t xml:space="preserve"> the </w:t>
      </w:r>
      <w:proofErr w:type="spellStart"/>
      <w:r w:rsidR="00A757F8" w:rsidRPr="006F664E">
        <w:rPr>
          <w:i/>
        </w:rPr>
        <w:t>i</w:t>
      </w:r>
      <w:r w:rsidR="00A757F8" w:rsidRPr="00FD6EF3">
        <w:t>th</w:t>
      </w:r>
      <w:proofErr w:type="spellEnd"/>
      <w:r w:rsidR="00A757F8" w:rsidRPr="00FD6EF3">
        <w:t xml:space="preserve"> publication</w:t>
      </w:r>
      <w:r w:rsidR="00A757F8">
        <w:t xml:space="preserve"> for A,</w:t>
      </w:r>
      <w:r w:rsidR="00A757F8" w:rsidRPr="00A757F8">
        <w:t xml:space="preserve"> </w:t>
      </w:r>
      <w:r w:rsidR="006E70A7" w:rsidRPr="00B450FD">
        <w:rPr>
          <w:position w:val="-16"/>
        </w:rPr>
        <w:object w:dxaOrig="320" w:dyaOrig="460">
          <v:shape id="_x0000_i1033" type="#_x0000_t75" style="width:17.25pt;height:23.25pt" o:ole="">
            <v:imagedata r:id="rId25" o:title=""/>
          </v:shape>
          <o:OLEObject Type="Embed" ProgID="Equation.DSMT4" ShapeID="_x0000_i1033" DrawAspect="Content" ObjectID="_1485676504" r:id="rId26"/>
        </w:object>
      </w:r>
      <w:r w:rsidR="006E70A7" w:rsidRPr="00237A7F">
        <w:t xml:space="preserve"> (</w:t>
      </w:r>
      <w:r w:rsidR="006E70A7" w:rsidRPr="00B450FD">
        <w:rPr>
          <w:position w:val="-16"/>
        </w:rPr>
        <w:object w:dxaOrig="540" w:dyaOrig="460">
          <v:shape id="_x0000_i1034" type="#_x0000_t75" style="width:27pt;height:23.25pt" o:ole="">
            <v:imagedata r:id="rId27" o:title=""/>
          </v:shape>
          <o:OLEObject Type="Embed" ProgID="Equation.DSMT4" ShapeID="_x0000_i1034" DrawAspect="Content" ObjectID="_1485676505" r:id="rId28"/>
        </w:object>
      </w:r>
      <w:r w:rsidR="00A757F8">
        <w:t xml:space="preserve">) </w:t>
      </w:r>
      <w:r w:rsidRPr="00237A7F">
        <w:t>the proportion publications</w:t>
      </w:r>
      <w:r>
        <w:t>–</w:t>
      </w:r>
      <w:r w:rsidRPr="00237A7F">
        <w:t xml:space="preserve">with respect to the citation distribution, which concerns publications with the same publication year and of the same document type as the </w:t>
      </w:r>
      <w:proofErr w:type="spellStart"/>
      <w:r w:rsidRPr="00237A7F">
        <w:rPr>
          <w:i/>
        </w:rPr>
        <w:t>i</w:t>
      </w:r>
      <w:r w:rsidR="00F67741">
        <w:t>th</w:t>
      </w:r>
      <w:proofErr w:type="spellEnd"/>
      <w:r w:rsidR="00F67741">
        <w:t xml:space="preserve"> </w:t>
      </w:r>
      <w:r w:rsidRPr="00237A7F">
        <w:t>publication for A</w:t>
      </w:r>
      <w:r w:rsidR="00A757F8">
        <w:t>,</w:t>
      </w:r>
      <w:r w:rsidRPr="00237A7F">
        <w:t xml:space="preserve"> and belonging to </w:t>
      </w:r>
      <w:r w:rsidR="001C0D38" w:rsidRPr="00FD6EF3">
        <w:t>the</w:t>
      </w:r>
      <w:r w:rsidR="001C0D38">
        <w:t xml:space="preserve"> </w:t>
      </w:r>
      <w:proofErr w:type="spellStart"/>
      <w:r w:rsidR="001C0D38" w:rsidRPr="006F664E">
        <w:rPr>
          <w:i/>
        </w:rPr>
        <w:t>q</w:t>
      </w:r>
      <w:r w:rsidR="001C0D38" w:rsidRPr="00FD6EF3">
        <w:t>th</w:t>
      </w:r>
      <w:proofErr w:type="spellEnd"/>
      <w:r w:rsidR="001C0D38" w:rsidRPr="00FD6EF3">
        <w:t xml:space="preserve"> subject category </w:t>
      </w:r>
      <w:r w:rsidR="009B5C14">
        <w:t>of</w:t>
      </w:r>
      <w:r w:rsidR="001C0D38">
        <w:t xml:space="preserve"> this publication</w:t>
      </w:r>
      <w:r>
        <w:t xml:space="preserve">–with less than </w:t>
      </w:r>
      <w:r w:rsidRPr="00083EC0">
        <w:rPr>
          <w:i/>
        </w:rPr>
        <w:t>c</w:t>
      </w:r>
      <w:r w:rsidRPr="00083EC0">
        <w:rPr>
          <w:i/>
          <w:vertAlign w:val="subscript"/>
        </w:rPr>
        <w:t>i</w:t>
      </w:r>
      <w:r>
        <w:t xml:space="preserve"> (</w:t>
      </w:r>
      <w:r w:rsidRPr="00083EC0">
        <w:rPr>
          <w:i/>
        </w:rPr>
        <w:t>c</w:t>
      </w:r>
      <w:r w:rsidRPr="00083EC0">
        <w:rPr>
          <w:i/>
          <w:vertAlign w:val="subscript"/>
        </w:rPr>
        <w:t>i</w:t>
      </w:r>
      <w:r>
        <w:t xml:space="preserve"> + 1) citations.</w:t>
      </w:r>
      <w:r w:rsidR="004A3692">
        <w:rPr>
          <w:rStyle w:val="FootnoteReference"/>
        </w:rPr>
        <w:footnoteReference w:id="1"/>
      </w:r>
      <w:r w:rsidR="006E70A7" w:rsidRPr="00237A7F">
        <w:t xml:space="preserve"> </w:t>
      </w:r>
      <w:r w:rsidR="006E70A7" w:rsidRPr="00B450FD">
        <w:rPr>
          <w:position w:val="-16"/>
        </w:rPr>
        <w:object w:dxaOrig="4220" w:dyaOrig="460">
          <v:shape id="_x0000_i1035" type="#_x0000_t75" style="width:210pt;height:23.25pt" o:ole="">
            <v:imagedata r:id="rId29" o:title=""/>
          </v:shape>
          <o:OLEObject Type="Embed" ProgID="Equation.DSMT4" ShapeID="_x0000_i1035" DrawAspect="Content" ObjectID="_1485676506" r:id="rId30"/>
        </w:object>
      </w:r>
      <w:r w:rsidR="006E70A7" w:rsidRPr="00237A7F">
        <w:t xml:space="preserve"> </w:t>
      </w:r>
      <w:proofErr w:type="gramStart"/>
      <w:r>
        <w:t>is</w:t>
      </w:r>
      <w:proofErr w:type="gramEnd"/>
      <w:r>
        <w:t xml:space="preserve"> the fraction of the </w:t>
      </w:r>
      <w:proofErr w:type="spellStart"/>
      <w:r w:rsidRPr="00083EC0">
        <w:rPr>
          <w:i/>
        </w:rPr>
        <w:t>i</w:t>
      </w:r>
      <w:r>
        <w:t>th</w:t>
      </w:r>
      <w:proofErr w:type="spellEnd"/>
      <w:r>
        <w:t xml:space="preserve"> publication with which the publication is assigned to the 10% most cited publications. </w:t>
      </w:r>
      <w:r w:rsidRPr="00237A7F">
        <w:t>Observe that this fraction is weighted by</w:t>
      </w:r>
      <w:r w:rsidR="00083EC0" w:rsidRPr="00083EC0">
        <w:t xml:space="preserve"> </w:t>
      </w:r>
      <w:r w:rsidR="00083EC0">
        <w:t>1/</w:t>
      </w:r>
      <w:r w:rsidR="00083EC0" w:rsidRPr="00083EC0">
        <w:rPr>
          <w:i/>
        </w:rPr>
        <w:t>q</w:t>
      </w:r>
      <w:r w:rsidR="00083EC0" w:rsidRPr="00083EC0">
        <w:rPr>
          <w:i/>
          <w:vertAlign w:val="subscript"/>
        </w:rPr>
        <w:t>i</w:t>
      </w:r>
      <w:r w:rsidRPr="00237A7F">
        <w:t xml:space="preserve">, i.e., </w:t>
      </w:r>
      <w:r w:rsidR="00E83EA7">
        <w:t>by</w:t>
      </w:r>
      <w:r w:rsidRPr="00237A7F">
        <w:t xml:space="preserve"> the fraction of the </w:t>
      </w:r>
      <w:r>
        <w:t xml:space="preserve">publication that belongs to the </w:t>
      </w:r>
      <w:proofErr w:type="spellStart"/>
      <w:r w:rsidR="00083EC0" w:rsidRPr="00083EC0">
        <w:rPr>
          <w:i/>
        </w:rPr>
        <w:t>q</w:t>
      </w:r>
      <w:r w:rsidR="00083EC0" w:rsidRPr="00083EC0">
        <w:t>th</w:t>
      </w:r>
      <w:proofErr w:type="spellEnd"/>
      <w:r w:rsidR="00083EC0" w:rsidRPr="00083EC0">
        <w:t xml:space="preserve"> </w:t>
      </w:r>
      <w:r>
        <w:t>subject category</w:t>
      </w:r>
      <w:r w:rsidR="006E70A7" w:rsidRPr="00237A7F">
        <w:t xml:space="preserve">. </w:t>
      </w:r>
      <w:r w:rsidR="00FC6B28" w:rsidRPr="00FC6B28">
        <w:t xml:space="preserve">The approach to assign fractions of publications to the (for instance) 10% most cited publications is described and discussed by </w:t>
      </w:r>
      <w:r w:rsidR="009576D8">
        <w:rPr>
          <w:noProof/>
        </w:rPr>
        <w:t>Waltman and</w:t>
      </w:r>
      <w:r w:rsidR="006E70A7" w:rsidRPr="00FC6B28">
        <w:rPr>
          <w:noProof/>
        </w:rPr>
        <w:t xml:space="preserve"> Schreiber (2013).</w:t>
      </w:r>
    </w:p>
    <w:p w:rsidR="00D75D46" w:rsidRDefault="00D75D46" w:rsidP="00FA040C">
      <w:pPr>
        <w:jc w:val="both"/>
        <w:rPr>
          <w:noProof/>
        </w:rPr>
      </w:pPr>
    </w:p>
    <w:p w:rsidR="00DC27EA" w:rsidRPr="00DC27EA" w:rsidRDefault="00DC27EA" w:rsidP="00FA040C">
      <w:pPr>
        <w:jc w:val="both"/>
        <w:rPr>
          <w:b/>
        </w:rPr>
      </w:pPr>
      <w:r w:rsidRPr="00DC27EA">
        <w:rPr>
          <w:b/>
        </w:rPr>
        <w:t>1.3 Mean field normalized journal impact</w:t>
      </w:r>
    </w:p>
    <w:p w:rsidR="008E1A6E" w:rsidRDefault="008E1A6E" w:rsidP="00FA040C">
      <w:pPr>
        <w:jc w:val="both"/>
      </w:pPr>
    </w:p>
    <w:p w:rsidR="00D75D46" w:rsidRPr="00CA4D67" w:rsidRDefault="00D75D46" w:rsidP="00FA040C">
      <w:pPr>
        <w:jc w:val="both"/>
      </w:pPr>
      <w:r w:rsidRPr="00CA4D67">
        <w:t xml:space="preserve">We define the </w:t>
      </w:r>
      <w:r w:rsidRPr="00CA4D67">
        <w:rPr>
          <w:i/>
        </w:rPr>
        <w:t>mean field normalized journal impact</w:t>
      </w:r>
      <w:r>
        <w:t xml:space="preserve"> for A, </w:t>
      </w:r>
      <w:proofErr w:type="spellStart"/>
      <w:r w:rsidRPr="00CA4D67">
        <w:rPr>
          <w:i/>
        </w:rPr>
        <w:t>mjcf</w:t>
      </w:r>
      <w:proofErr w:type="spellEnd"/>
      <w:r>
        <w:t>(A), as</w:t>
      </w:r>
    </w:p>
    <w:p w:rsidR="00D75D46" w:rsidRPr="00BA59EA" w:rsidRDefault="00D75D46" w:rsidP="00FA040C">
      <w:pPr>
        <w:pStyle w:val="MTDisplayEquation"/>
        <w:spacing w:line="240" w:lineRule="auto"/>
      </w:pPr>
      <w:r w:rsidRPr="00FB6440">
        <w:tab/>
      </w:r>
      <w:r w:rsidRPr="00D04F3B">
        <w:rPr>
          <w:position w:val="-44"/>
        </w:rPr>
        <w:object w:dxaOrig="2400" w:dyaOrig="999">
          <v:shape id="_x0000_i1036" type="#_x0000_t75" style="width:119.25pt;height:50.25pt" o:ole="">
            <v:imagedata r:id="rId31" o:title=""/>
          </v:shape>
          <o:OLEObject Type="Embed" ProgID="Equation.DSMT4" ShapeID="_x0000_i1036" DrawAspect="Content" ObjectID="_1485676507" r:id="rId32"/>
        </w:object>
      </w:r>
      <w:r w:rsidRPr="00BA59EA">
        <w:t xml:space="preserve"> </w:t>
      </w:r>
      <w:r w:rsidRPr="00BA59EA">
        <w:tab/>
      </w:r>
      <w:r w:rsidR="00A90B1D">
        <w:rPr>
          <w:rFonts w:ascii="Times New Roman" w:hAnsi="Times New Roman" w:cs="Times New Roman"/>
          <w:sz w:val="24"/>
          <w:szCs w:val="24"/>
        </w:rPr>
        <w:t>(4</w:t>
      </w:r>
      <w:r w:rsidRPr="00BA59EA">
        <w:rPr>
          <w:rFonts w:ascii="Times New Roman" w:hAnsi="Times New Roman" w:cs="Times New Roman"/>
          <w:sz w:val="24"/>
          <w:szCs w:val="24"/>
        </w:rPr>
        <w:t>)</w:t>
      </w:r>
      <w:r w:rsidRPr="00BA59EA">
        <w:t xml:space="preserve"> </w:t>
      </w:r>
    </w:p>
    <w:p w:rsidR="00D75D46" w:rsidRPr="00BA59EA" w:rsidRDefault="00D75D46" w:rsidP="00FA040C">
      <w:pPr>
        <w:pStyle w:val="MTDisplayEquation"/>
        <w:spacing w:line="240" w:lineRule="auto"/>
      </w:pPr>
      <w:r w:rsidRPr="00BA59EA">
        <w:tab/>
      </w:r>
      <w:r w:rsidRPr="00F36270">
        <w:rPr>
          <w:position w:val="-32"/>
        </w:rPr>
        <w:object w:dxaOrig="1660" w:dyaOrig="900">
          <v:shape id="_x0000_i1037" type="#_x0000_t75" style="width:83.25pt;height:45pt" o:ole="">
            <v:imagedata r:id="rId33" o:title=""/>
          </v:shape>
          <o:OLEObject Type="Embed" ProgID="Equation.DSMT4" ShapeID="_x0000_i1037" DrawAspect="Content" ObjectID="_1485676508" r:id="rId34"/>
        </w:object>
      </w:r>
      <w:r w:rsidRPr="00BA59EA">
        <w:t xml:space="preserve"> </w:t>
      </w:r>
    </w:p>
    <w:p w:rsidR="00D75D46" w:rsidRPr="00BA59EA" w:rsidRDefault="00D75D46" w:rsidP="00FA040C">
      <w:pPr>
        <w:pStyle w:val="MTDisplayEquation"/>
        <w:spacing w:line="240" w:lineRule="auto"/>
      </w:pPr>
      <w:r w:rsidRPr="00BA59EA">
        <w:tab/>
      </w:r>
      <w:r w:rsidR="00CA254E" w:rsidRPr="000A2C5C">
        <w:rPr>
          <w:position w:val="-20"/>
        </w:rPr>
        <w:object w:dxaOrig="2640" w:dyaOrig="560">
          <v:shape id="_x0000_i1038" type="#_x0000_t75" style="width:133.5pt;height:27.75pt" o:ole="">
            <v:imagedata r:id="rId35" o:title=""/>
          </v:shape>
          <o:OLEObject Type="Embed" ProgID="Equation.DSMT4" ShapeID="_x0000_i1038" DrawAspect="Content" ObjectID="_1485676509" r:id="rId36"/>
        </w:object>
      </w:r>
      <w:r w:rsidRPr="00BA59EA">
        <w:t xml:space="preserve"> </w:t>
      </w:r>
    </w:p>
    <w:p w:rsidR="00D75D46" w:rsidRPr="00D75D46" w:rsidRDefault="00D75D46" w:rsidP="00FA040C">
      <w:pPr>
        <w:pStyle w:val="MTDisplayEquation"/>
        <w:spacing w:line="240" w:lineRule="auto"/>
      </w:pPr>
      <w:r w:rsidRPr="00BA59EA">
        <w:tab/>
      </w:r>
      <w:r w:rsidRPr="00F731B2">
        <w:rPr>
          <w:position w:val="-44"/>
        </w:rPr>
        <w:object w:dxaOrig="1980" w:dyaOrig="999">
          <v:shape id="_x0000_i1039" type="#_x0000_t75" style="width:99pt;height:50.25pt" o:ole="">
            <v:imagedata r:id="rId37" o:title=""/>
          </v:shape>
          <o:OLEObject Type="Embed" ProgID="Equation.DSMT4" ShapeID="_x0000_i1039" DrawAspect="Content" ObjectID="_1485676510" r:id="rId38"/>
        </w:object>
      </w:r>
      <w:r w:rsidRPr="00D75D46">
        <w:t xml:space="preserve"> </w:t>
      </w:r>
    </w:p>
    <w:p w:rsidR="00D75D46" w:rsidRPr="00065FD2" w:rsidRDefault="00D75D46" w:rsidP="00FA040C">
      <w:pPr>
        <w:jc w:val="both"/>
      </w:pPr>
      <w:r w:rsidRPr="00026B71">
        <w:t xml:space="preserve">where </w:t>
      </w:r>
      <w:proofErr w:type="spellStart"/>
      <w:r w:rsidRPr="00EC54D2">
        <w:rPr>
          <w:i/>
        </w:rPr>
        <w:t>jcf</w:t>
      </w:r>
      <w:r w:rsidRPr="00EC54D2">
        <w:rPr>
          <w:i/>
          <w:vertAlign w:val="subscript"/>
        </w:rPr>
        <w:t>i</w:t>
      </w:r>
      <w:proofErr w:type="spellEnd"/>
      <w:r w:rsidRPr="00026B71">
        <w:t xml:space="preserve"> is the </w:t>
      </w:r>
      <w:r w:rsidRPr="0013712F">
        <w:rPr>
          <w:i/>
        </w:rPr>
        <w:t xml:space="preserve">mean field normalized citation rate of the </w:t>
      </w:r>
      <w:r w:rsidR="00BA59EA" w:rsidRPr="00054DCE">
        <w:rPr>
          <w:i/>
        </w:rPr>
        <w:t>journal</w:t>
      </w:r>
      <w:r w:rsidR="00BA59EA">
        <w:t xml:space="preserve">, say </w:t>
      </w:r>
      <w:proofErr w:type="spellStart"/>
      <w:r w:rsidR="00BA59EA" w:rsidRPr="00EC54D2">
        <w:rPr>
          <w:i/>
        </w:rPr>
        <w:t>J</w:t>
      </w:r>
      <w:r w:rsidR="00BA59EA" w:rsidRPr="00EC54D2">
        <w:rPr>
          <w:i/>
          <w:vertAlign w:val="subscript"/>
        </w:rPr>
        <w:t>i</w:t>
      </w:r>
      <w:proofErr w:type="spellEnd"/>
      <w:r w:rsidR="00BA59EA">
        <w:t xml:space="preserve">, </w:t>
      </w:r>
      <w:r w:rsidRPr="00D263F0">
        <w:rPr>
          <w:i/>
        </w:rPr>
        <w:t xml:space="preserve">of the </w:t>
      </w:r>
      <w:proofErr w:type="spellStart"/>
      <w:r w:rsidRPr="00D263F0">
        <w:rPr>
          <w:i/>
        </w:rPr>
        <w:t>i</w:t>
      </w:r>
      <w:r w:rsidRPr="00351FC3">
        <w:t>th</w:t>
      </w:r>
      <w:proofErr w:type="spellEnd"/>
      <w:r w:rsidRPr="0013712F">
        <w:rPr>
          <w:i/>
        </w:rPr>
        <w:t xml:space="preserve"> publication</w:t>
      </w:r>
      <w:r>
        <w:t xml:space="preserve">, </w:t>
      </w:r>
      <w:r w:rsidRPr="00EC54D2">
        <w:rPr>
          <w:i/>
        </w:rPr>
        <w:t>p</w:t>
      </w:r>
      <w:r w:rsidRPr="00EC54D2">
        <w:rPr>
          <w:i/>
          <w:vertAlign w:val="subscript"/>
        </w:rPr>
        <w:t>i</w:t>
      </w:r>
      <w:r>
        <w:t xml:space="preserve"> the number of publications in </w:t>
      </w:r>
      <w:proofErr w:type="spellStart"/>
      <w:r w:rsidRPr="00EC54D2">
        <w:rPr>
          <w:i/>
        </w:rPr>
        <w:t>J</w:t>
      </w:r>
      <w:r w:rsidRPr="00131CDB">
        <w:rPr>
          <w:i/>
          <w:vertAlign w:val="subscript"/>
        </w:rPr>
        <w:t>i</w:t>
      </w:r>
      <w:proofErr w:type="spellEnd"/>
      <w:r w:rsidR="00CA254E">
        <w:t xml:space="preserve">, </w:t>
      </w:r>
      <w:proofErr w:type="spellStart"/>
      <w:r w:rsidRPr="00EC54D2">
        <w:rPr>
          <w:i/>
        </w:rPr>
        <w:t>c</w:t>
      </w:r>
      <w:r w:rsidRPr="00131CDB">
        <w:rPr>
          <w:i/>
          <w:vertAlign w:val="subscript"/>
        </w:rPr>
        <w:t>j</w:t>
      </w:r>
      <w:proofErr w:type="spellEnd"/>
      <w:r>
        <w:t xml:space="preserve"> the citation rate of the </w:t>
      </w:r>
      <w:proofErr w:type="spellStart"/>
      <w:r w:rsidRPr="00EC54D2">
        <w:rPr>
          <w:i/>
        </w:rPr>
        <w:t>j</w:t>
      </w:r>
      <w:r>
        <w:t>th</w:t>
      </w:r>
      <w:proofErr w:type="spellEnd"/>
      <w:r>
        <w:t xml:space="preserve"> publication in </w:t>
      </w:r>
      <w:proofErr w:type="spellStart"/>
      <w:r w:rsidRPr="00EC54D2">
        <w:rPr>
          <w:i/>
        </w:rPr>
        <w:t>J</w:t>
      </w:r>
      <w:r w:rsidRPr="00131CDB">
        <w:rPr>
          <w:i/>
          <w:vertAlign w:val="subscript"/>
        </w:rPr>
        <w:t>i</w:t>
      </w:r>
      <w:proofErr w:type="spellEnd"/>
      <w:r>
        <w:t xml:space="preserve">, </w:t>
      </w:r>
      <w:r w:rsidR="00635DF1">
        <w:t xml:space="preserve">say </w:t>
      </w:r>
      <w:proofErr w:type="spellStart"/>
      <w:r w:rsidR="00635DF1" w:rsidRPr="00256D5F">
        <w:rPr>
          <w:i/>
        </w:rPr>
        <w:t>P</w:t>
      </w:r>
      <w:r w:rsidR="00635DF1" w:rsidRPr="00A52576">
        <w:rPr>
          <w:i/>
          <w:vertAlign w:val="subscript"/>
        </w:rPr>
        <w:t>j</w:t>
      </w:r>
      <w:proofErr w:type="spellEnd"/>
      <w:r w:rsidR="00635DF1">
        <w:t xml:space="preserve">, </w:t>
      </w:r>
      <w:proofErr w:type="spellStart"/>
      <w:r w:rsidR="00CA254E" w:rsidRPr="00EC54D2">
        <w:rPr>
          <w:i/>
        </w:rPr>
        <w:t>F</w:t>
      </w:r>
      <w:r w:rsidR="00CA254E" w:rsidRPr="00131CDB">
        <w:rPr>
          <w:i/>
          <w:vertAlign w:val="subscript"/>
        </w:rPr>
        <w:t>i</w:t>
      </w:r>
      <w:r w:rsidR="00CA254E">
        <w:rPr>
          <w:i/>
          <w:vertAlign w:val="subscript"/>
        </w:rPr>
        <w:t>j</w:t>
      </w:r>
      <w:proofErr w:type="spellEnd"/>
      <w:r w:rsidR="00CA254E">
        <w:t xml:space="preserve"> the  number of subject categories of </w:t>
      </w:r>
      <w:proofErr w:type="spellStart"/>
      <w:r w:rsidR="00635DF1" w:rsidRPr="00256D5F">
        <w:rPr>
          <w:i/>
        </w:rPr>
        <w:t>P</w:t>
      </w:r>
      <w:r w:rsidR="00635DF1" w:rsidRPr="00A52576">
        <w:rPr>
          <w:i/>
          <w:vertAlign w:val="subscript"/>
        </w:rPr>
        <w:t>j</w:t>
      </w:r>
      <w:proofErr w:type="spellEnd"/>
      <w:r w:rsidR="00CA254E">
        <w:t>,</w:t>
      </w:r>
      <w:r w:rsidR="00CA254E" w:rsidRPr="00EC54D2">
        <w:rPr>
          <w:i/>
        </w:rPr>
        <w:t xml:space="preserve"> </w:t>
      </w:r>
      <w:proofErr w:type="spellStart"/>
      <w:r w:rsidRPr="00EC54D2">
        <w:rPr>
          <w:i/>
        </w:rPr>
        <w:t>m</w:t>
      </w:r>
      <w:r w:rsidRPr="00131CDB">
        <w:rPr>
          <w:i/>
          <w:vertAlign w:val="subscript"/>
        </w:rPr>
        <w:t>jq</w:t>
      </w:r>
      <w:proofErr w:type="spellEnd"/>
      <w:r>
        <w:t xml:space="preserve"> the number of publications, with the same publication year and of the same document type as </w:t>
      </w:r>
      <w:proofErr w:type="spellStart"/>
      <w:r w:rsidR="00635DF1" w:rsidRPr="00256D5F">
        <w:rPr>
          <w:i/>
        </w:rPr>
        <w:t>P</w:t>
      </w:r>
      <w:r w:rsidR="00635DF1" w:rsidRPr="00A52576">
        <w:rPr>
          <w:i/>
          <w:vertAlign w:val="subscript"/>
        </w:rPr>
        <w:t>j</w:t>
      </w:r>
      <w:proofErr w:type="spellEnd"/>
      <w:r>
        <w:t xml:space="preserve">, in the </w:t>
      </w:r>
      <w:proofErr w:type="spellStart"/>
      <w:r w:rsidRPr="00EC54D2">
        <w:rPr>
          <w:i/>
        </w:rPr>
        <w:t>q</w:t>
      </w:r>
      <w:r w:rsidR="00635DF1">
        <w:t>th</w:t>
      </w:r>
      <w:proofErr w:type="spellEnd"/>
      <w:r w:rsidR="00635DF1">
        <w:t xml:space="preserve"> subject category of </w:t>
      </w:r>
      <w:proofErr w:type="spellStart"/>
      <w:r w:rsidR="00635DF1" w:rsidRPr="00256D5F">
        <w:rPr>
          <w:i/>
        </w:rPr>
        <w:t>P</w:t>
      </w:r>
      <w:r w:rsidR="00635DF1" w:rsidRPr="00A52576">
        <w:rPr>
          <w:i/>
          <w:vertAlign w:val="subscript"/>
        </w:rPr>
        <w:t>j</w:t>
      </w:r>
      <w:proofErr w:type="spellEnd"/>
      <w:r>
        <w:t xml:space="preserve">, and </w:t>
      </w:r>
      <w:proofErr w:type="spellStart"/>
      <w:r w:rsidRPr="00EC54D2">
        <w:rPr>
          <w:i/>
        </w:rPr>
        <w:t>c</w:t>
      </w:r>
      <w:r w:rsidRPr="00131CDB">
        <w:rPr>
          <w:i/>
          <w:vertAlign w:val="subscript"/>
        </w:rPr>
        <w:t>k</w:t>
      </w:r>
      <w:proofErr w:type="spellEnd"/>
      <w:r w:rsidRPr="00131CDB">
        <w:rPr>
          <w:vertAlign w:val="subscript"/>
        </w:rPr>
        <w:t xml:space="preserve"> </w:t>
      </w:r>
      <w:r>
        <w:t>(</w:t>
      </w:r>
      <w:proofErr w:type="spellStart"/>
      <w:r w:rsidRPr="00EC54D2">
        <w:rPr>
          <w:i/>
        </w:rPr>
        <w:t>F</w:t>
      </w:r>
      <w:r w:rsidRPr="00131CDB">
        <w:rPr>
          <w:i/>
          <w:vertAlign w:val="subscript"/>
        </w:rPr>
        <w:t>k</w:t>
      </w:r>
      <w:proofErr w:type="spellEnd"/>
      <w:r>
        <w:t xml:space="preserve">) the citation rate (the number of subject categories) of the </w:t>
      </w:r>
      <w:r w:rsidRPr="00EC54D2">
        <w:rPr>
          <w:i/>
        </w:rPr>
        <w:t>k</w:t>
      </w:r>
      <w:r>
        <w:t xml:space="preserve">th of these publications. </w:t>
      </w:r>
      <w:r w:rsidRPr="0044164D">
        <w:rPr>
          <w:i/>
        </w:rPr>
        <w:t>µ</w:t>
      </w:r>
      <w:proofErr w:type="spellStart"/>
      <w:r>
        <w:rPr>
          <w:i/>
          <w:vertAlign w:val="subscript"/>
        </w:rPr>
        <w:t>j</w:t>
      </w:r>
      <w:r w:rsidRPr="00962931">
        <w:rPr>
          <w:i/>
          <w:vertAlign w:val="subscript"/>
        </w:rPr>
        <w:t>q</w:t>
      </w:r>
      <w:proofErr w:type="spellEnd"/>
      <w:r>
        <w:t xml:space="preserve"> is the field reference value that the citation rate of </w:t>
      </w:r>
      <w:proofErr w:type="spellStart"/>
      <w:r w:rsidR="000F573C" w:rsidRPr="00256D5F">
        <w:rPr>
          <w:i/>
        </w:rPr>
        <w:t>P</w:t>
      </w:r>
      <w:r w:rsidR="000F573C" w:rsidRPr="00A52576">
        <w:rPr>
          <w:i/>
          <w:vertAlign w:val="subscript"/>
        </w:rPr>
        <w:t>j</w:t>
      </w:r>
      <w:proofErr w:type="spellEnd"/>
      <w:r>
        <w:t xml:space="preserve">, </w:t>
      </w:r>
      <w:proofErr w:type="spellStart"/>
      <w:r w:rsidRPr="00EC54D2">
        <w:rPr>
          <w:i/>
        </w:rPr>
        <w:t>c</w:t>
      </w:r>
      <w:r w:rsidRPr="00131CDB">
        <w:rPr>
          <w:i/>
          <w:vertAlign w:val="subscript"/>
        </w:rPr>
        <w:t>j</w:t>
      </w:r>
      <w:proofErr w:type="spellEnd"/>
      <w:r>
        <w:t xml:space="preserve">, is normalized against regarding the </w:t>
      </w:r>
      <w:proofErr w:type="spellStart"/>
      <w:r w:rsidRPr="00EC54D2">
        <w:rPr>
          <w:i/>
        </w:rPr>
        <w:t>q</w:t>
      </w:r>
      <w:r>
        <w:t>th</w:t>
      </w:r>
      <w:proofErr w:type="spellEnd"/>
      <w:r>
        <w:t xml:space="preserve"> subject category of </w:t>
      </w:r>
      <w:proofErr w:type="spellStart"/>
      <w:r w:rsidR="000F573C" w:rsidRPr="00256D5F">
        <w:rPr>
          <w:i/>
        </w:rPr>
        <w:t>P</w:t>
      </w:r>
      <w:r w:rsidR="000F573C" w:rsidRPr="00A52576">
        <w:rPr>
          <w:i/>
          <w:vertAlign w:val="subscript"/>
        </w:rPr>
        <w:t>j</w:t>
      </w:r>
      <w:proofErr w:type="spellEnd"/>
      <w:r>
        <w:t xml:space="preserve">, and the normalization gives rise to a field normalized citation rate for </w:t>
      </w:r>
      <w:proofErr w:type="spellStart"/>
      <w:r w:rsidR="000F573C" w:rsidRPr="00A52576">
        <w:rPr>
          <w:i/>
        </w:rPr>
        <w:t>P</w:t>
      </w:r>
      <w:r w:rsidR="000F573C" w:rsidRPr="00A52576">
        <w:rPr>
          <w:i/>
          <w:vertAlign w:val="subscript"/>
        </w:rPr>
        <w:t>j</w:t>
      </w:r>
      <w:proofErr w:type="spellEnd"/>
      <w:r>
        <w:t xml:space="preserve"> (cf. the definition of mean field normalized citation rate above).</w:t>
      </w:r>
      <w:r w:rsidR="001B517E">
        <w:t xml:space="preserve"> </w:t>
      </w:r>
      <w:r w:rsidR="00A02958">
        <w:t>(</w:t>
      </w:r>
      <w:r w:rsidR="001B517E">
        <w:t>I</w:t>
      </w:r>
      <w:r w:rsidR="001A4170">
        <w:t xml:space="preserve">f </w:t>
      </w:r>
      <w:proofErr w:type="spellStart"/>
      <w:r w:rsidR="001B517E" w:rsidRPr="001A4170">
        <w:rPr>
          <w:i/>
        </w:rPr>
        <w:t>J</w:t>
      </w:r>
      <w:r w:rsidR="001B517E" w:rsidRPr="001A4170">
        <w:rPr>
          <w:i/>
          <w:vertAlign w:val="subscript"/>
        </w:rPr>
        <w:t>i</w:t>
      </w:r>
      <w:proofErr w:type="spellEnd"/>
      <w:r w:rsidR="001B517E">
        <w:t xml:space="preserve"> is a non-multidisciplinary journal, </w:t>
      </w:r>
      <w:proofErr w:type="spellStart"/>
      <w:r w:rsidR="001B517E" w:rsidRPr="001A4170">
        <w:rPr>
          <w:i/>
        </w:rPr>
        <w:t>F</w:t>
      </w:r>
      <w:r w:rsidR="001B517E" w:rsidRPr="001A4170">
        <w:rPr>
          <w:i/>
          <w:vertAlign w:val="subscript"/>
        </w:rPr>
        <w:t>ij</w:t>
      </w:r>
      <w:proofErr w:type="spellEnd"/>
      <w:r w:rsidR="001B517E">
        <w:t xml:space="preserve"> = </w:t>
      </w:r>
      <w:r w:rsidR="001B517E" w:rsidRPr="001A4170">
        <w:rPr>
          <w:i/>
        </w:rPr>
        <w:t>F</w:t>
      </w:r>
      <w:r w:rsidR="001B517E" w:rsidRPr="001A4170">
        <w:rPr>
          <w:i/>
          <w:vertAlign w:val="subscript"/>
        </w:rPr>
        <w:t>i</w:t>
      </w:r>
      <w:r w:rsidR="001B517E" w:rsidRPr="001A4170">
        <w:rPr>
          <w:vertAlign w:val="subscript"/>
        </w:rPr>
        <w:t>(</w:t>
      </w:r>
      <w:r w:rsidR="001B517E" w:rsidRPr="001A4170">
        <w:rPr>
          <w:i/>
          <w:vertAlign w:val="subscript"/>
        </w:rPr>
        <w:t>j</w:t>
      </w:r>
      <w:r w:rsidR="006265EF">
        <w:rPr>
          <w:vertAlign w:val="subscript"/>
        </w:rPr>
        <w:t xml:space="preserve">+1) </w:t>
      </w:r>
      <w:r w:rsidR="006265EF">
        <w:t>(</w:t>
      </w:r>
      <w:r w:rsidR="001B517E" w:rsidRPr="001A4170">
        <w:rPr>
          <w:i/>
        </w:rPr>
        <w:t>j</w:t>
      </w:r>
      <w:r w:rsidR="001B517E">
        <w:t xml:space="preserve"> </w:t>
      </w:r>
      <w:r w:rsidR="006265EF">
        <w:t>=</w:t>
      </w:r>
      <w:r w:rsidR="001B517E">
        <w:t xml:space="preserve"> </w:t>
      </w:r>
      <w:r w:rsidR="006265EF">
        <w:t xml:space="preserve">0, 1, …, </w:t>
      </w:r>
      <w:r w:rsidR="001B517E" w:rsidRPr="00880ACD">
        <w:rPr>
          <w:i/>
        </w:rPr>
        <w:t>p</w:t>
      </w:r>
      <w:r w:rsidR="001B517E" w:rsidRPr="006265EF">
        <w:rPr>
          <w:i/>
          <w:vertAlign w:val="subscript"/>
        </w:rPr>
        <w:t>i</w:t>
      </w:r>
      <w:r w:rsidR="006265EF">
        <w:t xml:space="preserve"> – 1)</w:t>
      </w:r>
      <w:r w:rsidR="001B517E">
        <w:t xml:space="preserve">, since the number of subject categories </w:t>
      </w:r>
      <w:r w:rsidR="000E7BA3">
        <w:t>of</w:t>
      </w:r>
      <w:r w:rsidR="001B517E">
        <w:t xml:space="preserve"> a publication in </w:t>
      </w:r>
      <w:proofErr w:type="spellStart"/>
      <w:r w:rsidR="001B517E" w:rsidRPr="001A4170">
        <w:rPr>
          <w:i/>
        </w:rPr>
        <w:t>J</w:t>
      </w:r>
      <w:r w:rsidR="001B517E" w:rsidRPr="001A4170">
        <w:rPr>
          <w:i/>
          <w:vertAlign w:val="subscript"/>
        </w:rPr>
        <w:t>i</w:t>
      </w:r>
      <w:proofErr w:type="spellEnd"/>
      <w:r w:rsidR="001B517E">
        <w:t xml:space="preserve"> is then equal to the number of subject categories of </w:t>
      </w:r>
      <w:proofErr w:type="spellStart"/>
      <w:r w:rsidR="001B517E" w:rsidRPr="001A4170">
        <w:rPr>
          <w:i/>
        </w:rPr>
        <w:t>J</w:t>
      </w:r>
      <w:r w:rsidR="001B517E" w:rsidRPr="001A4170">
        <w:rPr>
          <w:i/>
          <w:vertAlign w:val="subscript"/>
        </w:rPr>
        <w:t>i</w:t>
      </w:r>
      <w:proofErr w:type="spellEnd"/>
      <w:r w:rsidR="001B517E">
        <w:t>.</w:t>
      </w:r>
      <w:r w:rsidR="00A02958">
        <w:t>)</w:t>
      </w:r>
      <w:r w:rsidR="004C396B">
        <w:rPr>
          <w:rStyle w:val="FootnoteReference"/>
        </w:rPr>
        <w:footnoteReference w:id="2"/>
      </w:r>
    </w:p>
    <w:p w:rsidR="00210EC9" w:rsidRDefault="00210EC9" w:rsidP="00FA040C">
      <w:pPr>
        <w:jc w:val="both"/>
        <w:rPr>
          <w:noProof/>
        </w:rPr>
      </w:pPr>
    </w:p>
    <w:p w:rsidR="00DC27EA" w:rsidRPr="00DC27EA" w:rsidRDefault="00DC27EA" w:rsidP="00FA040C">
      <w:pPr>
        <w:jc w:val="both"/>
        <w:rPr>
          <w:b/>
        </w:rPr>
      </w:pPr>
      <w:r w:rsidRPr="00DC27EA">
        <w:rPr>
          <w:b/>
        </w:rPr>
        <w:t>1.4 Proportion publications in the 20% most frequently cited journals in the field</w:t>
      </w:r>
    </w:p>
    <w:p w:rsidR="00DC27EA" w:rsidRDefault="00DC27EA" w:rsidP="00FA040C">
      <w:pPr>
        <w:jc w:val="both"/>
      </w:pPr>
    </w:p>
    <w:p w:rsidR="001647F8" w:rsidRDefault="00210EC9" w:rsidP="00FA040C">
      <w:pPr>
        <w:jc w:val="both"/>
      </w:pPr>
      <w:r>
        <w:t>We define the</w:t>
      </w:r>
      <w:r w:rsidRPr="006C5F5D">
        <w:t xml:space="preserve"> </w:t>
      </w:r>
      <w:r>
        <w:rPr>
          <w:i/>
        </w:rPr>
        <w:t>proportion publications in the 20% most frequently cited journals in the field</w:t>
      </w:r>
      <w:r>
        <w:t xml:space="preserve"> for A, </w:t>
      </w:r>
      <w:proofErr w:type="gramStart"/>
      <w:r w:rsidR="006B777A">
        <w:rPr>
          <w:i/>
        </w:rPr>
        <w:t>jtop</w:t>
      </w:r>
      <w:r>
        <w:rPr>
          <w:i/>
        </w:rPr>
        <w:t>20%</w:t>
      </w:r>
      <w:proofErr w:type="gramEnd"/>
      <w:r>
        <w:t>(A), as</w:t>
      </w:r>
    </w:p>
    <w:p w:rsidR="001647F8" w:rsidRPr="00FC6B28" w:rsidRDefault="001647F8" w:rsidP="00FA040C">
      <w:pPr>
        <w:pStyle w:val="MTDisplayEquation"/>
        <w:spacing w:line="240" w:lineRule="auto"/>
      </w:pPr>
      <w:r>
        <w:tab/>
      </w:r>
      <w:r w:rsidR="00B67E24" w:rsidRPr="001647F8">
        <w:rPr>
          <w:position w:val="-44"/>
        </w:rPr>
        <w:object w:dxaOrig="3340" w:dyaOrig="1020">
          <v:shape id="_x0000_i1040" type="#_x0000_t75" style="width:167.25pt;height:51.75pt" o:ole="">
            <v:imagedata r:id="rId39" o:title=""/>
          </v:shape>
          <o:OLEObject Type="Embed" ProgID="Equation.DSMT4" ShapeID="_x0000_i1040" DrawAspect="Content" ObjectID="_1485676511" r:id="rId40"/>
        </w:object>
      </w:r>
      <w:r>
        <w:t xml:space="preserve"> </w:t>
      </w:r>
      <w:r>
        <w:tab/>
      </w:r>
      <w:r w:rsidR="00A90B1D">
        <w:rPr>
          <w:rFonts w:ascii="Times New Roman" w:hAnsi="Times New Roman" w:cs="Times New Roman"/>
        </w:rPr>
        <w:t>(5</w:t>
      </w:r>
      <w:r w:rsidRPr="001647F8">
        <w:rPr>
          <w:rFonts w:ascii="Times New Roman" w:hAnsi="Times New Roman" w:cs="Times New Roman"/>
        </w:rPr>
        <w:t>)</w:t>
      </w:r>
    </w:p>
    <w:p w:rsidR="002068C2" w:rsidRDefault="001647F8" w:rsidP="00FA040C">
      <w:pPr>
        <w:pStyle w:val="MTDisplayEquation"/>
        <w:spacing w:line="240" w:lineRule="auto"/>
        <w:rPr>
          <w:noProof/>
        </w:rPr>
      </w:pPr>
      <w:r>
        <w:rPr>
          <w:noProof/>
        </w:rPr>
        <w:lastRenderedPageBreak/>
        <w:tab/>
      </w:r>
      <w:r w:rsidR="0069536E" w:rsidRPr="0069536E">
        <w:rPr>
          <w:noProof/>
          <w:position w:val="-42"/>
        </w:rPr>
        <w:object w:dxaOrig="4060" w:dyaOrig="960">
          <v:shape id="_x0000_i1041" type="#_x0000_t75" style="width:203.25pt;height:47.25pt" o:ole="">
            <v:imagedata r:id="rId41" o:title=""/>
          </v:shape>
          <o:OLEObject Type="Embed" ProgID="Equation.DSMT4" ShapeID="_x0000_i1041" DrawAspect="Content" ObjectID="_1485676512" r:id="rId42"/>
        </w:object>
      </w:r>
      <w:r>
        <w:rPr>
          <w:noProof/>
        </w:rPr>
        <w:t xml:space="preserve"> </w:t>
      </w:r>
    </w:p>
    <w:p w:rsidR="00F72CD1" w:rsidRDefault="00F72CD1" w:rsidP="00FA040C">
      <w:pPr>
        <w:jc w:val="both"/>
      </w:pPr>
      <w:r>
        <w:t xml:space="preserve">where </w:t>
      </w:r>
      <w:r w:rsidR="004C4666" w:rsidRPr="005C076F">
        <w:rPr>
          <w:i/>
        </w:rPr>
        <w:t>F</w:t>
      </w:r>
      <w:r w:rsidR="004C4666" w:rsidRPr="005C076F">
        <w:rPr>
          <w:i/>
          <w:vertAlign w:val="subscript"/>
        </w:rPr>
        <w:t>i</w:t>
      </w:r>
      <w:r w:rsidR="004C4666">
        <w:t xml:space="preserve"> is the number of subject categories of the journal</w:t>
      </w:r>
      <w:r w:rsidR="00A13690">
        <w:t xml:space="preserve">, say </w:t>
      </w:r>
      <w:proofErr w:type="spellStart"/>
      <w:r w:rsidR="00A13690" w:rsidRPr="005C076F">
        <w:rPr>
          <w:i/>
        </w:rPr>
        <w:t>J</w:t>
      </w:r>
      <w:r w:rsidR="00A13690" w:rsidRPr="005C076F">
        <w:rPr>
          <w:i/>
          <w:vertAlign w:val="subscript"/>
        </w:rPr>
        <w:t>i</w:t>
      </w:r>
      <w:proofErr w:type="spellEnd"/>
      <w:r w:rsidR="00A13690">
        <w:t xml:space="preserve">, </w:t>
      </w:r>
      <w:r w:rsidR="004C4666">
        <w:t xml:space="preserve">of the </w:t>
      </w:r>
      <w:proofErr w:type="spellStart"/>
      <w:r w:rsidR="004C4666" w:rsidRPr="009E3069">
        <w:rPr>
          <w:i/>
        </w:rPr>
        <w:t>i</w:t>
      </w:r>
      <w:r w:rsidR="004C4666">
        <w:t>th</w:t>
      </w:r>
      <w:proofErr w:type="spellEnd"/>
      <w:r w:rsidR="004C4666">
        <w:t xml:space="preserve"> publication</w:t>
      </w:r>
      <w:r w:rsidR="0086730C">
        <w:t xml:space="preserve"> of A</w:t>
      </w:r>
      <w:r w:rsidR="004C4666">
        <w:t xml:space="preserve">, </w:t>
      </w:r>
      <w:proofErr w:type="spellStart"/>
      <w:r w:rsidR="005C076F">
        <w:rPr>
          <w:i/>
        </w:rPr>
        <w:t>r</w:t>
      </w:r>
      <w:r w:rsidR="0069536E" w:rsidRPr="005C076F">
        <w:rPr>
          <w:i/>
          <w:vertAlign w:val="subscript"/>
        </w:rPr>
        <w:t>iq</w:t>
      </w:r>
      <w:proofErr w:type="spellEnd"/>
      <w:r w:rsidR="0069536E">
        <w:t xml:space="preserve"> the rank of </w:t>
      </w:r>
      <w:proofErr w:type="spellStart"/>
      <w:r w:rsidR="0069536E" w:rsidRPr="005C076F">
        <w:rPr>
          <w:i/>
        </w:rPr>
        <w:t>J</w:t>
      </w:r>
      <w:r w:rsidR="005C076F" w:rsidRPr="005C076F">
        <w:rPr>
          <w:i/>
          <w:vertAlign w:val="subscript"/>
        </w:rPr>
        <w:t>i</w:t>
      </w:r>
      <w:proofErr w:type="spellEnd"/>
      <w:r w:rsidR="0069536E">
        <w:t xml:space="preserve"> in the ranking of the journals in the </w:t>
      </w:r>
      <w:proofErr w:type="spellStart"/>
      <w:r w:rsidR="0069536E" w:rsidRPr="005C076F">
        <w:rPr>
          <w:i/>
        </w:rPr>
        <w:t>q</w:t>
      </w:r>
      <w:r w:rsidR="0069536E">
        <w:t>th</w:t>
      </w:r>
      <w:proofErr w:type="spellEnd"/>
      <w:r w:rsidR="0069536E">
        <w:t xml:space="preserve"> subject category of </w:t>
      </w:r>
      <w:proofErr w:type="spellStart"/>
      <w:r w:rsidR="0069536E" w:rsidRPr="005C076F">
        <w:rPr>
          <w:i/>
        </w:rPr>
        <w:t>J</w:t>
      </w:r>
      <w:r w:rsidR="0069536E" w:rsidRPr="005C076F">
        <w:rPr>
          <w:i/>
          <w:vertAlign w:val="subscript"/>
        </w:rPr>
        <w:t>i</w:t>
      </w:r>
      <w:proofErr w:type="spellEnd"/>
      <w:r w:rsidR="0069536E" w:rsidRPr="005C076F">
        <w:t xml:space="preserve">, </w:t>
      </w:r>
      <w:r w:rsidR="0086730C">
        <w:t xml:space="preserve">where the journals are ranked descending after their </w:t>
      </w:r>
      <w:r w:rsidR="0086730C" w:rsidRPr="00327B6B">
        <w:t>mean field normalized citation rate</w:t>
      </w:r>
      <w:r w:rsidR="00F24FA8" w:rsidRPr="00327B6B">
        <w:t>s</w:t>
      </w:r>
      <w:r w:rsidR="00327B6B">
        <w:rPr>
          <w:rStyle w:val="FootnoteReference"/>
        </w:rPr>
        <w:footnoteReference w:id="3"/>
      </w:r>
      <w:r w:rsidR="00F24FA8">
        <w:t xml:space="preserve">, </w:t>
      </w:r>
      <w:r w:rsidR="0086730C" w:rsidRPr="00B450FD">
        <w:rPr>
          <w:position w:val="-16"/>
        </w:rPr>
        <w:object w:dxaOrig="360" w:dyaOrig="499">
          <v:shape id="_x0000_i1042" type="#_x0000_t75" style="width:18pt;height:25.5pt" o:ole="">
            <v:imagedata r:id="rId43" o:title=""/>
          </v:shape>
          <o:OLEObject Type="Embed" ProgID="Equation.DSMT4" ShapeID="_x0000_i1042" DrawAspect="Content" ObjectID="_1485676513" r:id="rId44"/>
        </w:object>
      </w:r>
      <w:r w:rsidR="004C4666" w:rsidRPr="00237A7F">
        <w:t xml:space="preserve"> (</w:t>
      </w:r>
      <w:r w:rsidR="0086730C" w:rsidRPr="00B450FD">
        <w:rPr>
          <w:position w:val="-16"/>
        </w:rPr>
        <w:object w:dxaOrig="560" w:dyaOrig="499">
          <v:shape id="_x0000_i1043" type="#_x0000_t75" style="width:27.75pt;height:25.5pt" o:ole="">
            <v:imagedata r:id="rId45" o:title=""/>
          </v:shape>
          <o:OLEObject Type="Embed" ProgID="Equation.DSMT4" ShapeID="_x0000_i1043" DrawAspect="Content" ObjectID="_1485676514" r:id="rId46"/>
        </w:object>
      </w:r>
      <w:r w:rsidR="004C4666" w:rsidRPr="00237A7F">
        <w:t>) the proportion publications</w:t>
      </w:r>
      <w:r w:rsidR="00BE3A83">
        <w:t xml:space="preserve"> </w:t>
      </w:r>
      <w:r w:rsidR="005F354A">
        <w:t>appearing in</w:t>
      </w:r>
      <w:r w:rsidR="00BE3A83">
        <w:t xml:space="preserve"> the journals</w:t>
      </w:r>
      <w:r w:rsidR="004C4666">
        <w:t>–</w:t>
      </w:r>
      <w:r w:rsidR="005F354A">
        <w:t>regarding</w:t>
      </w:r>
      <w:r w:rsidR="0086730C">
        <w:t xml:space="preserve"> </w:t>
      </w:r>
      <w:r w:rsidR="004C4666">
        <w:t xml:space="preserve">the ranking of the journals in the </w:t>
      </w:r>
      <w:proofErr w:type="spellStart"/>
      <w:r w:rsidR="004C4666" w:rsidRPr="005C076F">
        <w:rPr>
          <w:i/>
        </w:rPr>
        <w:t>q</w:t>
      </w:r>
      <w:r w:rsidR="004C4666">
        <w:t>th</w:t>
      </w:r>
      <w:proofErr w:type="spellEnd"/>
      <w:r w:rsidR="004C4666">
        <w:t xml:space="preserve"> subject category of </w:t>
      </w:r>
      <w:proofErr w:type="spellStart"/>
      <w:r w:rsidR="004C4666" w:rsidRPr="005C076F">
        <w:rPr>
          <w:i/>
        </w:rPr>
        <w:t>J</w:t>
      </w:r>
      <w:r w:rsidR="004C4666" w:rsidRPr="005C076F">
        <w:rPr>
          <w:i/>
          <w:vertAlign w:val="subscript"/>
        </w:rPr>
        <w:t>i</w:t>
      </w:r>
      <w:proofErr w:type="spellEnd"/>
      <w:r w:rsidR="004C4666">
        <w:t>–</w:t>
      </w:r>
      <w:r w:rsidR="005F354A">
        <w:t xml:space="preserve">with a </w:t>
      </w:r>
      <w:r w:rsidR="0086730C">
        <w:t xml:space="preserve">rank </w:t>
      </w:r>
      <w:r w:rsidR="005F354A">
        <w:t xml:space="preserve">less than or equal to </w:t>
      </w:r>
      <w:proofErr w:type="spellStart"/>
      <w:r w:rsidR="00F95078">
        <w:rPr>
          <w:i/>
        </w:rPr>
        <w:t>r</w:t>
      </w:r>
      <w:r w:rsidR="0069536E" w:rsidRPr="005C076F">
        <w:rPr>
          <w:i/>
          <w:vertAlign w:val="subscript"/>
        </w:rPr>
        <w:t>iq</w:t>
      </w:r>
      <w:proofErr w:type="spellEnd"/>
      <w:r w:rsidR="00B06272">
        <w:t xml:space="preserve"> </w:t>
      </w:r>
      <w:r w:rsidR="0069536E">
        <w:t>(</w:t>
      </w:r>
      <w:proofErr w:type="spellStart"/>
      <w:r w:rsidR="00F95078">
        <w:rPr>
          <w:i/>
        </w:rPr>
        <w:t>r</w:t>
      </w:r>
      <w:r w:rsidR="0069536E" w:rsidRPr="005C076F">
        <w:rPr>
          <w:i/>
          <w:vertAlign w:val="subscript"/>
        </w:rPr>
        <w:t>iq</w:t>
      </w:r>
      <w:proofErr w:type="spellEnd"/>
      <w:r w:rsidR="0069536E">
        <w:t>–1).</w:t>
      </w:r>
      <w:r w:rsidR="00BA7993">
        <w:rPr>
          <w:rStyle w:val="FootnoteReference"/>
        </w:rPr>
        <w:footnoteReference w:id="4"/>
      </w:r>
      <w:r w:rsidR="00561D1D">
        <w:t xml:space="preserve"> </w:t>
      </w:r>
      <w:r w:rsidR="008E4DB2">
        <w:t xml:space="preserve">The rightmost factor in </w:t>
      </w:r>
      <w:r w:rsidR="008E4DB2" w:rsidRPr="008E4DB2">
        <w:rPr>
          <w:position w:val="-16"/>
        </w:rPr>
        <w:object w:dxaOrig="300" w:dyaOrig="420">
          <v:shape id="_x0000_i1044" type="#_x0000_t75" style="width:15pt;height:20.25pt" o:ole="">
            <v:imagedata r:id="rId47" o:title=""/>
          </v:shape>
          <o:OLEObject Type="Embed" ProgID="Equation.DSMT4" ShapeID="_x0000_i1044" DrawAspect="Content" ObjectID="_1485676515" r:id="rId48"/>
        </w:object>
      </w:r>
      <w:r w:rsidR="008E4DB2">
        <w:t xml:space="preserve"> is the fraction of </w:t>
      </w:r>
      <w:proofErr w:type="spellStart"/>
      <w:r w:rsidR="008E4DB2" w:rsidRPr="005C076F">
        <w:rPr>
          <w:i/>
        </w:rPr>
        <w:t>J</w:t>
      </w:r>
      <w:r w:rsidR="008E4DB2" w:rsidRPr="005C076F">
        <w:rPr>
          <w:i/>
          <w:vertAlign w:val="subscript"/>
        </w:rPr>
        <w:t>i</w:t>
      </w:r>
      <w:proofErr w:type="spellEnd"/>
      <w:r w:rsidR="008E4DB2">
        <w:t xml:space="preserve"> with which </w:t>
      </w:r>
      <w:proofErr w:type="spellStart"/>
      <w:r w:rsidR="008E4DB2" w:rsidRPr="005C076F">
        <w:rPr>
          <w:i/>
        </w:rPr>
        <w:t>J</w:t>
      </w:r>
      <w:r w:rsidR="008E4DB2" w:rsidRPr="005C076F">
        <w:rPr>
          <w:i/>
          <w:vertAlign w:val="subscript"/>
        </w:rPr>
        <w:t>i</w:t>
      </w:r>
      <w:proofErr w:type="spellEnd"/>
      <w:r w:rsidR="008E4DB2">
        <w:t xml:space="preserve"> is assigned to the 20% most frequently cited journals in the </w:t>
      </w:r>
      <w:proofErr w:type="spellStart"/>
      <w:r w:rsidR="008E4DB2" w:rsidRPr="005C076F">
        <w:rPr>
          <w:i/>
        </w:rPr>
        <w:t>q</w:t>
      </w:r>
      <w:r w:rsidR="008E4DB2">
        <w:t>th</w:t>
      </w:r>
      <w:proofErr w:type="spellEnd"/>
      <w:r w:rsidR="008E4DB2">
        <w:t xml:space="preserve"> subject category of </w:t>
      </w:r>
      <w:proofErr w:type="spellStart"/>
      <w:r w:rsidR="008E4DB2" w:rsidRPr="005C076F">
        <w:rPr>
          <w:i/>
        </w:rPr>
        <w:t>J</w:t>
      </w:r>
      <w:r w:rsidR="008E4DB2" w:rsidRPr="005C076F">
        <w:rPr>
          <w:i/>
          <w:vertAlign w:val="subscript"/>
        </w:rPr>
        <w:t>i</w:t>
      </w:r>
      <w:proofErr w:type="spellEnd"/>
      <w:r w:rsidR="008E4DB2">
        <w:t xml:space="preserve">. </w:t>
      </w:r>
      <w:r w:rsidR="008E4DB2" w:rsidRPr="00237A7F">
        <w:t>Observe that this fraction is weighted by</w:t>
      </w:r>
      <w:r w:rsidR="008E4DB2" w:rsidRPr="00083EC0">
        <w:t xml:space="preserve"> </w:t>
      </w:r>
      <w:r w:rsidR="008E4DB2">
        <w:t>1/</w:t>
      </w:r>
      <w:r w:rsidR="008E4DB2">
        <w:rPr>
          <w:i/>
        </w:rPr>
        <w:t>F</w:t>
      </w:r>
      <w:r w:rsidR="008E4DB2" w:rsidRPr="00083EC0">
        <w:rPr>
          <w:i/>
          <w:vertAlign w:val="subscript"/>
        </w:rPr>
        <w:t>i</w:t>
      </w:r>
      <w:r w:rsidR="008E4DB2" w:rsidRPr="00237A7F">
        <w:t xml:space="preserve">, i.e., </w:t>
      </w:r>
      <w:r w:rsidR="008E4DB2">
        <w:t>by</w:t>
      </w:r>
      <w:r w:rsidR="0007564A">
        <w:t xml:space="preserve"> the fraction of </w:t>
      </w:r>
      <w:proofErr w:type="spellStart"/>
      <w:r w:rsidR="0007564A" w:rsidRPr="005C076F">
        <w:rPr>
          <w:i/>
        </w:rPr>
        <w:t>J</w:t>
      </w:r>
      <w:r w:rsidR="0007564A" w:rsidRPr="005C076F">
        <w:rPr>
          <w:i/>
          <w:vertAlign w:val="subscript"/>
        </w:rPr>
        <w:t>i</w:t>
      </w:r>
      <w:proofErr w:type="spellEnd"/>
      <w:r w:rsidR="0007564A">
        <w:t xml:space="preserve"> </w:t>
      </w:r>
      <w:r w:rsidR="008E4DB2">
        <w:t xml:space="preserve">that belongs to the </w:t>
      </w:r>
      <w:proofErr w:type="spellStart"/>
      <w:r w:rsidR="008E4DB2" w:rsidRPr="00083EC0">
        <w:rPr>
          <w:i/>
        </w:rPr>
        <w:t>q</w:t>
      </w:r>
      <w:r w:rsidR="008E4DB2" w:rsidRPr="00083EC0">
        <w:t>th</w:t>
      </w:r>
      <w:proofErr w:type="spellEnd"/>
      <w:r w:rsidR="008E4DB2" w:rsidRPr="00083EC0">
        <w:t xml:space="preserve"> </w:t>
      </w:r>
      <w:r w:rsidR="008E4DB2">
        <w:t>subject category</w:t>
      </w:r>
      <w:r w:rsidR="008E4DB2" w:rsidRPr="00237A7F">
        <w:t>.</w:t>
      </w:r>
      <w:r w:rsidR="00224040">
        <w:t xml:space="preserve"> </w:t>
      </w:r>
      <w:r w:rsidR="00224040" w:rsidRPr="00FC6B28">
        <w:t xml:space="preserve">The approach to assign fractions of </w:t>
      </w:r>
      <w:r w:rsidR="00224040">
        <w:t>journals to the (for instance) 2</w:t>
      </w:r>
      <w:r w:rsidR="00224040" w:rsidRPr="00FC6B28">
        <w:t xml:space="preserve">0% most cited </w:t>
      </w:r>
      <w:r w:rsidR="00224040">
        <w:t>journals</w:t>
      </w:r>
      <w:r w:rsidR="00224040" w:rsidRPr="00FC6B28">
        <w:t xml:space="preserve"> is</w:t>
      </w:r>
      <w:r w:rsidR="00224040">
        <w:t xml:space="preserve"> basically the same as the assignment approach used in the definition of </w:t>
      </w:r>
      <w:r w:rsidR="006B777A" w:rsidRPr="006B777A">
        <w:rPr>
          <w:i/>
        </w:rPr>
        <w:t>p</w:t>
      </w:r>
      <w:r w:rsidR="00224040" w:rsidRPr="00224040">
        <w:rPr>
          <w:i/>
        </w:rPr>
        <w:t>top10%</w:t>
      </w:r>
      <w:r w:rsidR="00B55DF8">
        <w:t xml:space="preserve"> (Eq. (3</w:t>
      </w:r>
      <w:r w:rsidR="008300CF">
        <w:t>))</w:t>
      </w:r>
      <w:r w:rsidR="00224040">
        <w:t>.</w:t>
      </w:r>
    </w:p>
    <w:p w:rsidR="00B301F8" w:rsidRDefault="00B301F8" w:rsidP="00FA040C">
      <w:pPr>
        <w:jc w:val="both"/>
      </w:pPr>
    </w:p>
    <w:p w:rsidR="003C4110" w:rsidRDefault="003C4110" w:rsidP="003C4110">
      <w:pPr>
        <w:pStyle w:val="Heading2"/>
      </w:pPr>
      <w:r>
        <w:t>Part 2</w:t>
      </w:r>
      <w:r w:rsidRPr="00FD6EF3">
        <w:t xml:space="preserve"> </w:t>
      </w:r>
      <w:r>
        <w:t>Implementation at KTH Royal Institute of Technology</w:t>
      </w:r>
    </w:p>
    <w:p w:rsidR="002308E0" w:rsidRDefault="002308E0" w:rsidP="002308E0"/>
    <w:p w:rsidR="002308E0" w:rsidRDefault="002308E0" w:rsidP="002308E0">
      <w:pPr>
        <w:pStyle w:val="Heading2"/>
      </w:pPr>
      <w:r>
        <w:t>2.1 Database contents</w:t>
      </w:r>
    </w:p>
    <w:p w:rsidR="0096752E" w:rsidRDefault="0096752E" w:rsidP="002308E0"/>
    <w:p w:rsidR="002308E0" w:rsidRDefault="002308E0" w:rsidP="002308E0">
      <w:r>
        <w:t xml:space="preserve">The bibliometric database at KTH </w:t>
      </w:r>
      <w:r w:rsidR="008D69A0">
        <w:t>(</w:t>
      </w:r>
      <w:proofErr w:type="spellStart"/>
      <w:r w:rsidR="008D69A0">
        <w:t>Bibmet</w:t>
      </w:r>
      <w:proofErr w:type="spellEnd"/>
      <w:r w:rsidR="008D69A0">
        <w:t xml:space="preserve">) </w:t>
      </w:r>
      <w:r>
        <w:t>contains the following indexes:</w:t>
      </w:r>
    </w:p>
    <w:p w:rsidR="002308E0" w:rsidRDefault="002308E0" w:rsidP="009648AD">
      <w:pPr>
        <w:pStyle w:val="NoSpacing"/>
        <w:numPr>
          <w:ilvl w:val="0"/>
          <w:numId w:val="2"/>
        </w:numPr>
      </w:pPr>
      <w:r w:rsidRPr="00EA754D">
        <w:t xml:space="preserve">Science </w:t>
      </w:r>
      <w:r w:rsidR="009648AD">
        <w:t>Citation Index Expended (SCIE)</w:t>
      </w:r>
    </w:p>
    <w:p w:rsidR="002308E0" w:rsidRDefault="002308E0" w:rsidP="009648AD">
      <w:pPr>
        <w:pStyle w:val="NoSpacing"/>
        <w:numPr>
          <w:ilvl w:val="0"/>
          <w:numId w:val="2"/>
        </w:numPr>
      </w:pPr>
      <w:r w:rsidRPr="00EA754D">
        <w:t xml:space="preserve">Social </w:t>
      </w:r>
      <w:r w:rsidR="009648AD">
        <w:t>Sciences Citation Index (SSCI)</w:t>
      </w:r>
    </w:p>
    <w:p w:rsidR="002308E0" w:rsidRDefault="002308E0" w:rsidP="009648AD">
      <w:pPr>
        <w:pStyle w:val="NoSpacing"/>
        <w:numPr>
          <w:ilvl w:val="0"/>
          <w:numId w:val="2"/>
        </w:numPr>
      </w:pPr>
      <w:r w:rsidRPr="00EA754D">
        <w:t>Arts &amp; Hu</w:t>
      </w:r>
      <w:r w:rsidR="009648AD">
        <w:t>manities Citation Index (AHCI)</w:t>
      </w:r>
    </w:p>
    <w:p w:rsidR="009648AD" w:rsidRDefault="002308E0" w:rsidP="009648AD">
      <w:pPr>
        <w:pStyle w:val="NoSpacing"/>
        <w:numPr>
          <w:ilvl w:val="0"/>
          <w:numId w:val="2"/>
        </w:numPr>
      </w:pPr>
      <w:r w:rsidRPr="00EA754D">
        <w:t>Conference Proceedings Citatio</w:t>
      </w:r>
      <w:r w:rsidR="009648AD">
        <w:t>n Index - Sciences (CPCI-S)</w:t>
      </w:r>
    </w:p>
    <w:p w:rsidR="009648AD" w:rsidRDefault="002308E0" w:rsidP="009648AD">
      <w:pPr>
        <w:pStyle w:val="NoSpacing"/>
        <w:numPr>
          <w:ilvl w:val="0"/>
          <w:numId w:val="2"/>
        </w:numPr>
      </w:pPr>
      <w:r w:rsidRPr="00EA754D">
        <w:t>Conference Proceedings Citation Index - Social Sciences &amp; Human</w:t>
      </w:r>
      <w:r w:rsidR="009648AD">
        <w:t xml:space="preserve">ities (CPCI -SSH)). </w:t>
      </w:r>
    </w:p>
    <w:p w:rsidR="009648AD" w:rsidRDefault="009648AD" w:rsidP="009648AD">
      <w:pPr>
        <w:pStyle w:val="NoSpacing"/>
      </w:pPr>
    </w:p>
    <w:p w:rsidR="002308E0" w:rsidRDefault="009648AD" w:rsidP="009648AD">
      <w:pPr>
        <w:pStyle w:val="NoSpacing"/>
      </w:pPr>
      <w:r>
        <w:t xml:space="preserve">SCIE, SSCI, </w:t>
      </w:r>
      <w:r w:rsidR="002308E0" w:rsidRPr="00EA754D">
        <w:t>AHCI from 1980 and CPCI-S and CPCI-SSH from 1990.</w:t>
      </w:r>
    </w:p>
    <w:p w:rsidR="002308E0" w:rsidRDefault="002308E0" w:rsidP="002308E0"/>
    <w:p w:rsidR="002308E0" w:rsidRDefault="002308E0" w:rsidP="002308E0">
      <w:pPr>
        <w:pStyle w:val="Heading2"/>
      </w:pPr>
      <w:r w:rsidRPr="001059A3">
        <w:t>2</w:t>
      </w:r>
      <w:r>
        <w:t>.2</w:t>
      </w:r>
      <w:r w:rsidRPr="001059A3">
        <w:t xml:space="preserve"> </w:t>
      </w:r>
      <w:r>
        <w:t>Document types included in calculations</w:t>
      </w:r>
    </w:p>
    <w:p w:rsidR="0096752E" w:rsidRDefault="0096752E" w:rsidP="0096752E"/>
    <w:p w:rsidR="0096752E" w:rsidRDefault="00ED77D0" w:rsidP="0096752E">
      <w:r>
        <w:t xml:space="preserve">In </w:t>
      </w:r>
      <w:proofErr w:type="spellStart"/>
      <w:r>
        <w:t>Bibmet</w:t>
      </w:r>
      <w:proofErr w:type="spellEnd"/>
      <w:r>
        <w:t>, c</w:t>
      </w:r>
      <w:r w:rsidR="00345C79">
        <w:t>alculations are made for all combinations of document</w:t>
      </w:r>
      <w:r w:rsidR="0096752E">
        <w:t xml:space="preserve"> </w:t>
      </w:r>
      <w:r w:rsidR="00345C79">
        <w:t xml:space="preserve">types, </w:t>
      </w:r>
      <w:r w:rsidR="0096752E">
        <w:t xml:space="preserve">publication </w:t>
      </w:r>
      <w:r w:rsidR="00345C79">
        <w:t xml:space="preserve">years and Web of Science categories. </w:t>
      </w:r>
      <w:r>
        <w:t>However, t</w:t>
      </w:r>
      <w:r w:rsidR="0096752E">
        <w:t xml:space="preserve">he default presentation of field normalized citation indicators </w:t>
      </w:r>
      <w:r w:rsidR="009648AD">
        <w:t>concern</w:t>
      </w:r>
      <w:r w:rsidR="0096752E">
        <w:t xml:space="preserve"> </w:t>
      </w:r>
      <w:r w:rsidR="009A37C3">
        <w:t xml:space="preserve">only </w:t>
      </w:r>
      <w:r w:rsidR="0096752E">
        <w:t xml:space="preserve">articles and reviews. The reason for excluding other </w:t>
      </w:r>
      <w:r>
        <w:t>document</w:t>
      </w:r>
      <w:r w:rsidR="0096752E">
        <w:t xml:space="preserve"> types is </w:t>
      </w:r>
      <w:r w:rsidR="009A37C3">
        <w:t xml:space="preserve">the </w:t>
      </w:r>
      <w:r w:rsidR="0096752E">
        <w:t xml:space="preserve">risk for anomalies caused by </w:t>
      </w:r>
      <w:r w:rsidR="009A37C3">
        <w:t xml:space="preserve">a </w:t>
      </w:r>
      <w:r w:rsidR="0096752E">
        <w:t>low number of public</w:t>
      </w:r>
      <w:r w:rsidR="009648AD">
        <w:t xml:space="preserve">ations in the reference groups </w:t>
      </w:r>
      <w:r w:rsidR="0096752E">
        <w:t xml:space="preserve">and </w:t>
      </w:r>
      <w:r w:rsidR="008D50C0">
        <w:t>question marks</w:t>
      </w:r>
      <w:r w:rsidR="0096752E">
        <w:t xml:space="preserve"> regarding data quality and citation matching (</w:t>
      </w:r>
      <w:r w:rsidR="008D50C0">
        <w:t xml:space="preserve">this </w:t>
      </w:r>
      <w:r w:rsidR="0096752E">
        <w:t>especially</w:t>
      </w:r>
      <w:r w:rsidR="009648AD">
        <w:t xml:space="preserve"> applies to proceedings papers).</w:t>
      </w:r>
    </w:p>
    <w:p w:rsidR="002308E0" w:rsidRDefault="002308E0" w:rsidP="002308E0">
      <w:pPr>
        <w:pStyle w:val="Heading2"/>
      </w:pPr>
    </w:p>
    <w:p w:rsidR="002308E0" w:rsidRDefault="002308E0" w:rsidP="002308E0">
      <w:pPr>
        <w:pStyle w:val="Heading2"/>
      </w:pPr>
      <w:r>
        <w:t>2.3 Citations included</w:t>
      </w:r>
    </w:p>
    <w:p w:rsidR="0096752E" w:rsidRDefault="0096752E" w:rsidP="0096752E"/>
    <w:p w:rsidR="0096752E" w:rsidRDefault="0096752E" w:rsidP="0096752E">
      <w:r>
        <w:lastRenderedPageBreak/>
        <w:t>Citations from all records in the database are included in the calculations. The indicators are calculated both with self-citations included and excluded. The default presentation is made with self-citations excluded</w:t>
      </w:r>
      <w:r w:rsidR="0046163F">
        <w:t>,</w:t>
      </w:r>
      <w:r>
        <w:t xml:space="preserve"> since the</w:t>
      </w:r>
      <w:r w:rsidRPr="0096752E">
        <w:t xml:space="preserve"> intention when calculating </w:t>
      </w:r>
      <w:r>
        <w:t>citation indicators</w:t>
      </w:r>
      <w:r w:rsidRPr="0096752E">
        <w:t xml:space="preserve"> </w:t>
      </w:r>
      <w:r>
        <w:t>is to</w:t>
      </w:r>
      <w:r w:rsidRPr="0096752E">
        <w:t xml:space="preserve"> see what </w:t>
      </w:r>
      <w:r>
        <w:t>impact</w:t>
      </w:r>
      <w:r w:rsidRPr="0096752E">
        <w:t xml:space="preserve"> a publication has had on other </w:t>
      </w:r>
      <w:r>
        <w:t>researchers</w:t>
      </w:r>
      <w:r w:rsidRPr="0096752E">
        <w:t xml:space="preserve"> than those who wrote the publication. Furthermore, one should </w:t>
      </w:r>
      <w:r>
        <w:t xml:space="preserve">avoid giving </w:t>
      </w:r>
      <w:r w:rsidRPr="0096752E">
        <w:t>inc</w:t>
      </w:r>
      <w:r w:rsidR="008D50C0">
        <w:t>entives to systematic</w:t>
      </w:r>
      <w:r>
        <w:t xml:space="preserve"> self-quotation.</w:t>
      </w:r>
    </w:p>
    <w:p w:rsidR="00ED77D0" w:rsidRDefault="00ED77D0" w:rsidP="0096752E"/>
    <w:p w:rsidR="002308E0" w:rsidRDefault="002308E0" w:rsidP="002308E0">
      <w:pPr>
        <w:pStyle w:val="Heading2"/>
      </w:pPr>
      <w:r w:rsidRPr="001059A3">
        <w:t>2</w:t>
      </w:r>
      <w:r>
        <w:t>.4</w:t>
      </w:r>
      <w:r w:rsidRPr="001059A3">
        <w:t xml:space="preserve"> </w:t>
      </w:r>
      <w:r>
        <w:t>Retroactive changes of t</w:t>
      </w:r>
      <w:r w:rsidR="00ED77D0">
        <w:t xml:space="preserve">he Web of Science </w:t>
      </w:r>
      <w:r w:rsidR="008E3FD0">
        <w:t xml:space="preserve">subject </w:t>
      </w:r>
      <w:r w:rsidR="00ED77D0">
        <w:t>category assigned to</w:t>
      </w:r>
      <w:r>
        <w:t xml:space="preserve"> journals</w:t>
      </w:r>
    </w:p>
    <w:p w:rsidR="008D69A0" w:rsidRDefault="008D69A0" w:rsidP="008D69A0"/>
    <w:p w:rsidR="008D69A0" w:rsidRPr="008D69A0" w:rsidRDefault="008D69A0" w:rsidP="008D69A0">
      <w:r>
        <w:t>If a journal is reclassified from one</w:t>
      </w:r>
      <w:r w:rsidRPr="008D69A0">
        <w:t xml:space="preserve"> </w:t>
      </w:r>
      <w:r w:rsidR="00ED77D0">
        <w:t>Web of Science</w:t>
      </w:r>
      <w:r w:rsidRPr="008D69A0">
        <w:t xml:space="preserve"> </w:t>
      </w:r>
      <w:r w:rsidR="008E3FD0">
        <w:t xml:space="preserve">subject </w:t>
      </w:r>
      <w:r w:rsidRPr="008D69A0">
        <w:t>categor</w:t>
      </w:r>
      <w:r>
        <w:t>y to another by Thomson Reuters</w:t>
      </w:r>
      <w:r w:rsidR="008D50C0">
        <w:t xml:space="preserve"> (TR)</w:t>
      </w:r>
      <w:r>
        <w:t xml:space="preserve">, no </w:t>
      </w:r>
      <w:r w:rsidRPr="008D69A0">
        <w:t xml:space="preserve">retroactive changes </w:t>
      </w:r>
      <w:r>
        <w:t xml:space="preserve">are made in the delivered </w:t>
      </w:r>
      <w:r w:rsidRPr="008D69A0">
        <w:t xml:space="preserve">raw data. </w:t>
      </w:r>
      <w:r>
        <w:t xml:space="preserve">However, in Web of Science </w:t>
      </w:r>
      <w:r w:rsidR="00ED77D0">
        <w:t>TR</w:t>
      </w:r>
      <w:r>
        <w:t xml:space="preserve"> changes the classification retroactively</w:t>
      </w:r>
      <w:r w:rsidRPr="008D69A0">
        <w:t xml:space="preserve">. </w:t>
      </w:r>
      <w:r w:rsidR="008D50C0">
        <w:t xml:space="preserve">Changes of the classification </w:t>
      </w:r>
      <w:r w:rsidR="008D50C0" w:rsidRPr="008D69A0">
        <w:t>affect</w:t>
      </w:r>
      <w:r w:rsidRPr="008D69A0">
        <w:t xml:space="preserve"> the </w:t>
      </w:r>
      <w:r>
        <w:t xml:space="preserve">field reference values and </w:t>
      </w:r>
      <w:r w:rsidR="00ED77D0" w:rsidRPr="00ED77D0">
        <w:t>consequently</w:t>
      </w:r>
      <w:r w:rsidR="00ED77D0">
        <w:t xml:space="preserve"> </w:t>
      </w:r>
      <w:r>
        <w:t xml:space="preserve">the outcome of the calculations </w:t>
      </w:r>
      <w:r w:rsidR="00ED77D0">
        <w:t>described</w:t>
      </w:r>
      <w:r>
        <w:t xml:space="preserve"> in this document</w:t>
      </w:r>
      <w:r w:rsidRPr="008D69A0">
        <w:t xml:space="preserve">. </w:t>
      </w:r>
      <w:r w:rsidR="006A13C0">
        <w:t xml:space="preserve">For </w:t>
      </w:r>
      <w:proofErr w:type="spellStart"/>
      <w:r w:rsidR="006A13C0">
        <w:t>Bibmet</w:t>
      </w:r>
      <w:proofErr w:type="spellEnd"/>
      <w:r w:rsidR="006A13C0">
        <w:t xml:space="preserve"> to be consistent with</w:t>
      </w:r>
      <w:r w:rsidR="00ED77D0">
        <w:t xml:space="preserve"> Web of Science</w:t>
      </w:r>
      <w:r w:rsidR="006A13C0">
        <w:t>,</w:t>
      </w:r>
      <w:r w:rsidR="00ED77D0">
        <w:t xml:space="preserve"> </w:t>
      </w:r>
      <w:r w:rsidR="006A13C0">
        <w:t>r</w:t>
      </w:r>
      <w:r>
        <w:t xml:space="preserve">etroactive changes of the Web of Science </w:t>
      </w:r>
      <w:r w:rsidR="008E3FD0">
        <w:t xml:space="preserve">subject </w:t>
      </w:r>
      <w:r>
        <w:t xml:space="preserve">categories assigned to journals are made in </w:t>
      </w:r>
      <w:proofErr w:type="spellStart"/>
      <w:r>
        <w:t>Bibmet</w:t>
      </w:r>
      <w:proofErr w:type="spellEnd"/>
      <w:r>
        <w:t xml:space="preserve">. </w:t>
      </w:r>
    </w:p>
    <w:p w:rsidR="002308E0" w:rsidRDefault="002308E0" w:rsidP="002308E0"/>
    <w:p w:rsidR="002308E0" w:rsidRDefault="002308E0" w:rsidP="002308E0">
      <w:pPr>
        <w:pStyle w:val="Heading2"/>
      </w:pPr>
      <w:r>
        <w:t>2.5 Reclassification of journals categorized as Multidisciplinary in Web of Science</w:t>
      </w:r>
    </w:p>
    <w:p w:rsidR="008D69A0" w:rsidRDefault="008D69A0" w:rsidP="008D69A0"/>
    <w:p w:rsidR="00D33278" w:rsidRDefault="006A13C0" w:rsidP="00D33278">
      <w:r>
        <w:t>The large (in terms of publications output) and highly p</w:t>
      </w:r>
      <w:r w:rsidR="008D69A0" w:rsidRPr="008D69A0">
        <w:t xml:space="preserve">restigious journals Nature, Science and PNAS </w:t>
      </w:r>
      <w:r w:rsidR="008D69A0">
        <w:t xml:space="preserve">are </w:t>
      </w:r>
      <w:r w:rsidR="008D69A0" w:rsidRPr="008D69A0">
        <w:t>classified by TR as mult</w:t>
      </w:r>
      <w:r w:rsidR="00D9648D">
        <w:t xml:space="preserve">idisciplinary. When field normalization is applied </w:t>
      </w:r>
      <w:r w:rsidR="008D69A0">
        <w:t>th</w:t>
      </w:r>
      <w:r w:rsidR="00D9648D">
        <w:t>e</w:t>
      </w:r>
      <w:r w:rsidR="008D69A0">
        <w:t xml:space="preserve"> classification </w:t>
      </w:r>
      <w:r w:rsidR="00D9648D">
        <w:t xml:space="preserve">of these highly cited journals into the same category </w:t>
      </w:r>
      <w:r w:rsidR="008D69A0">
        <w:t>results in</w:t>
      </w:r>
      <w:r w:rsidR="008D69A0" w:rsidRPr="008D69A0">
        <w:t xml:space="preserve"> </w:t>
      </w:r>
      <w:r w:rsidR="00D9648D">
        <w:t xml:space="preserve">very </w:t>
      </w:r>
      <w:r w:rsidR="008D69A0" w:rsidRPr="008D69A0">
        <w:t xml:space="preserve">high field </w:t>
      </w:r>
      <w:r w:rsidR="008D69A0">
        <w:t>reference values</w:t>
      </w:r>
      <w:r w:rsidR="00D9648D">
        <w:t xml:space="preserve"> for this "field". </w:t>
      </w:r>
      <w:r w:rsidR="008D69A0" w:rsidRPr="008D69A0">
        <w:t>By reclassify</w:t>
      </w:r>
      <w:r w:rsidR="00D9648D">
        <w:t>ing</w:t>
      </w:r>
      <w:r w:rsidR="008D69A0" w:rsidRPr="008D69A0">
        <w:t xml:space="preserve"> </w:t>
      </w:r>
      <w:r w:rsidR="00D9648D">
        <w:t>publications</w:t>
      </w:r>
      <w:r w:rsidR="008D69A0" w:rsidRPr="008D69A0">
        <w:t xml:space="preserve"> </w:t>
      </w:r>
      <w:r w:rsidR="00D9648D">
        <w:t>in</w:t>
      </w:r>
      <w:r w:rsidR="008D69A0" w:rsidRPr="008D69A0">
        <w:t xml:space="preserve"> </w:t>
      </w:r>
      <w:r w:rsidR="00D9648D">
        <w:t xml:space="preserve">journals within the </w:t>
      </w:r>
      <w:r>
        <w:t>multi</w:t>
      </w:r>
      <w:r w:rsidR="008D69A0" w:rsidRPr="008D69A0">
        <w:t>disciplinary</w:t>
      </w:r>
      <w:r w:rsidR="008D50C0">
        <w:t xml:space="preserve"> </w:t>
      </w:r>
      <w:r w:rsidR="008E3FD0">
        <w:t xml:space="preserve">subject </w:t>
      </w:r>
      <w:r w:rsidR="00D9648D">
        <w:t>category</w:t>
      </w:r>
      <w:r w:rsidR="008D69A0" w:rsidRPr="008D69A0">
        <w:t xml:space="preserve"> </w:t>
      </w:r>
      <w:r w:rsidR="008D50C0">
        <w:t xml:space="preserve">according to their </w:t>
      </w:r>
      <w:r>
        <w:t xml:space="preserve">"real" </w:t>
      </w:r>
      <w:r w:rsidR="008D50C0">
        <w:t>topic</w:t>
      </w:r>
      <w:r w:rsidR="008E3FD0">
        <w:t>s</w:t>
      </w:r>
      <w:r w:rsidR="008D50C0">
        <w:t xml:space="preserve"> the publications are instead compared to other publications within the same subject field</w:t>
      </w:r>
      <w:r w:rsidR="008D69A0" w:rsidRPr="008D69A0">
        <w:t xml:space="preserve">. </w:t>
      </w:r>
      <w:r w:rsidR="008D50C0">
        <w:t>The Swedish R</w:t>
      </w:r>
      <w:r w:rsidR="008D69A0" w:rsidRPr="008D69A0">
        <w:t>esearch Council has develope</w:t>
      </w:r>
      <w:r w:rsidR="00BE0524">
        <w:t>d and applied a methodology for</w:t>
      </w:r>
      <w:r w:rsidR="008D69A0" w:rsidRPr="008D69A0">
        <w:t xml:space="preserve"> reclassification</w:t>
      </w:r>
      <w:r w:rsidR="00BE0524">
        <w:t xml:space="preserve"> of publications within the multidisciplinary Web of </w:t>
      </w:r>
      <w:r>
        <w:t>Science</w:t>
      </w:r>
      <w:r w:rsidR="00BE0524">
        <w:t xml:space="preserve"> </w:t>
      </w:r>
      <w:r w:rsidR="008E3FD0">
        <w:t xml:space="preserve">subject </w:t>
      </w:r>
      <w:r w:rsidR="00BE0524">
        <w:t>category into other categories based on citations</w:t>
      </w:r>
      <w:r>
        <w:t xml:space="preserve"> </w:t>
      </w:r>
      <w:r>
        <w:fldChar w:fldCharType="begin"/>
      </w:r>
      <w:r>
        <w:instrText xml:space="preserve"> ADDIN ZOTERO_ITEM CSL_CITATION {"citationID":"lqilfpuvn","properties":{"formattedCitation":"{\\rtf (Gunnarsson, Fr\\uc0\\u246{}berg, Jacobsson, &amp; Karlsson, 2011)}","plainCitation":"(Gunnarsson, Fröberg, Jacobsson, &amp; Karlsson, 2011)"},"citationItems":[{"id":746,"uris":["http://zotero.org/users/165014/items/6MRQ7N39"],"uri":["http://zotero.org/users/165014/items/6MRQ7N39"],"itemData":{"id":746,"type":"report","title":"Subject classification of  publications in the ISI database based on references  and citations","collection-title":"Vetenskapsrådets lilla rapportserie","number":"4","author":[{"family":"Gunnarsson","given":"Magnus"},{"family":"Fröberg","given":"Johan"},{"family":"Jacobsson","given":"Carl"},{"family":"Karlsson","given":"Staffan"}],"issued":{"date-parts":[["2011"]]}}}],"schema":"https://github.com/citation-style-language/schema/raw/master/csl-citation.json"} </w:instrText>
      </w:r>
      <w:r>
        <w:fldChar w:fldCharType="separate"/>
      </w:r>
      <w:r w:rsidRPr="006A13C0">
        <w:rPr>
          <w:rFonts w:ascii="Calibri" w:hAnsi="Calibri" w:cs="Times New Roman"/>
          <w:szCs w:val="24"/>
        </w:rPr>
        <w:t>(Gunnarsson, Fröberg, Jacobsson, &amp; Karlsson, 2011)</w:t>
      </w:r>
      <w:r>
        <w:fldChar w:fldCharType="end"/>
      </w:r>
      <w:r w:rsidR="00BE0524">
        <w:t>.</w:t>
      </w:r>
      <w:r w:rsidR="008D50C0">
        <w:t xml:space="preserve"> It enables a higher degree of like-to-like comparison. </w:t>
      </w:r>
      <w:r w:rsidR="00BE0524">
        <w:t xml:space="preserve">The same methodology is used at KTH. </w:t>
      </w:r>
    </w:p>
    <w:p w:rsidR="006A13C0" w:rsidRDefault="006A13C0" w:rsidP="00D33278"/>
    <w:p w:rsidR="00D33278" w:rsidRPr="001059A3" w:rsidRDefault="00D33278" w:rsidP="00D33278">
      <w:pPr>
        <w:pStyle w:val="Heading2"/>
      </w:pPr>
      <w:r w:rsidRPr="001059A3">
        <w:t>2</w:t>
      </w:r>
      <w:r>
        <w:t>.</w:t>
      </w:r>
      <w:r w:rsidR="002308E0">
        <w:t>6</w:t>
      </w:r>
      <w:r w:rsidRPr="001059A3">
        <w:t xml:space="preserve"> Exclusion of publication fractions with low field reference value</w:t>
      </w:r>
      <w:r>
        <w:t>s</w:t>
      </w:r>
    </w:p>
    <w:p w:rsidR="00D33278" w:rsidRPr="001059A3" w:rsidRDefault="00D33278" w:rsidP="00D33278">
      <w:pPr>
        <w:jc w:val="both"/>
        <w:rPr>
          <w:noProof/>
        </w:rPr>
      </w:pPr>
    </w:p>
    <w:p w:rsidR="00D33278" w:rsidRDefault="00D33278" w:rsidP="00D33278">
      <w:pPr>
        <w:jc w:val="both"/>
      </w:pPr>
      <w:r w:rsidRPr="00623F80">
        <w:rPr>
          <w:noProof/>
        </w:rPr>
        <w:t xml:space="preserve">For </w:t>
      </w:r>
      <w:r>
        <w:rPr>
          <w:noProof/>
        </w:rPr>
        <w:t xml:space="preserve">all the four indicators </w:t>
      </w:r>
      <w:r w:rsidRPr="00623F80">
        <w:rPr>
          <w:noProof/>
        </w:rPr>
        <w:t xml:space="preserve">defined </w:t>
      </w:r>
      <w:r w:rsidR="0046163F">
        <w:rPr>
          <w:noProof/>
        </w:rPr>
        <w:t>in Part 1</w:t>
      </w:r>
      <w:r w:rsidRPr="00623F80">
        <w:rPr>
          <w:noProof/>
        </w:rPr>
        <w:t xml:space="preserve">, publication fractions </w:t>
      </w:r>
      <w:r>
        <w:rPr>
          <w:noProof/>
        </w:rPr>
        <w:t>with field reference values less than 0.5 are excluded</w:t>
      </w:r>
      <w:r w:rsidRPr="00623F80">
        <w:t>.</w:t>
      </w:r>
      <w:r>
        <w:rPr>
          <w:rStyle w:val="FootnoteReference"/>
        </w:rPr>
        <w:footnoteReference w:id="5"/>
      </w:r>
    </w:p>
    <w:p w:rsidR="00D33278" w:rsidRPr="00623F80" w:rsidRDefault="00D33278" w:rsidP="00D33278">
      <w:pPr>
        <w:jc w:val="both"/>
      </w:pPr>
    </w:p>
    <w:p w:rsidR="00D33278" w:rsidRDefault="00D33278" w:rsidP="00D33278">
      <w:pPr>
        <w:jc w:val="both"/>
      </w:pPr>
      <w:r w:rsidRPr="00623F80">
        <w:rPr>
          <w:b/>
        </w:rPr>
        <w:t xml:space="preserve">Example </w:t>
      </w:r>
      <w:r>
        <w:rPr>
          <w:b/>
        </w:rPr>
        <w:t>2.</w:t>
      </w:r>
      <w:r w:rsidRPr="00623F80">
        <w:rPr>
          <w:b/>
        </w:rPr>
        <w:t>1</w:t>
      </w:r>
      <w:r w:rsidRPr="00623F80">
        <w:t xml:space="preserve"> (</w:t>
      </w:r>
      <w:proofErr w:type="spellStart"/>
      <w:r w:rsidRPr="00FD7987">
        <w:rPr>
          <w:i/>
          <w:noProof/>
        </w:rPr>
        <w:t>mcf</w:t>
      </w:r>
      <w:proofErr w:type="spellEnd"/>
      <w:r w:rsidR="006B777A">
        <w:rPr>
          <w:noProof/>
        </w:rPr>
        <w:t xml:space="preserve"> and </w:t>
      </w:r>
      <w:r w:rsidR="006B777A" w:rsidRPr="006B777A">
        <w:rPr>
          <w:i/>
          <w:noProof/>
        </w:rPr>
        <w:t>p</w:t>
      </w:r>
      <w:r w:rsidRPr="00224040">
        <w:rPr>
          <w:i/>
        </w:rPr>
        <w:t>top10%</w:t>
      </w:r>
      <w:r w:rsidRPr="00623F80">
        <w:t xml:space="preserve">). </w:t>
      </w:r>
      <w:r>
        <w:t xml:space="preserve">Assume that the </w:t>
      </w:r>
      <w:proofErr w:type="spellStart"/>
      <w:r w:rsidRPr="00FE181B">
        <w:rPr>
          <w:i/>
        </w:rPr>
        <w:t>i</w:t>
      </w:r>
      <w:r>
        <w:t>th</w:t>
      </w:r>
      <w:proofErr w:type="spellEnd"/>
      <w:r>
        <w:t xml:space="preserve"> publication of A, say </w:t>
      </w:r>
      <w:r w:rsidRPr="00FE181B">
        <w:rPr>
          <w:i/>
        </w:rPr>
        <w:t>P</w:t>
      </w:r>
      <w:r w:rsidRPr="00FE181B">
        <w:rPr>
          <w:i/>
          <w:vertAlign w:val="subscript"/>
        </w:rPr>
        <w:t>i</w:t>
      </w:r>
      <w:r>
        <w:t xml:space="preserve">, belongs to three subject categories and that exactly one of these categories has a field reference value less than 0.5 (regarding publications with the same publication year and of the same document type as </w:t>
      </w:r>
      <w:r w:rsidRPr="00FE181B">
        <w:rPr>
          <w:i/>
        </w:rPr>
        <w:t>P</w:t>
      </w:r>
      <w:r w:rsidRPr="00FE181B">
        <w:rPr>
          <w:i/>
          <w:vertAlign w:val="subscript"/>
        </w:rPr>
        <w:t>i</w:t>
      </w:r>
      <w:r>
        <w:t xml:space="preserve">). For Eq. (2), </w:t>
      </w:r>
      <w:proofErr w:type="spellStart"/>
      <w:proofErr w:type="gramStart"/>
      <w:r w:rsidRPr="00FE181B">
        <w:rPr>
          <w:i/>
        </w:rPr>
        <w:t>a</w:t>
      </w:r>
      <w:r w:rsidRPr="00FE181B">
        <w:rPr>
          <w:i/>
          <w:vertAlign w:val="subscript"/>
        </w:rPr>
        <w:t>i</w:t>
      </w:r>
      <w:proofErr w:type="spellEnd"/>
      <w:r>
        <w:t xml:space="preserve"> in the denominator and </w:t>
      </w:r>
      <w:r w:rsidRPr="005D53E1">
        <w:rPr>
          <w:position w:val="-12"/>
        </w:rPr>
        <w:object w:dxaOrig="240" w:dyaOrig="380">
          <v:shape id="_x0000_i1045" type="#_x0000_t75" style="width:12pt;height:18.75pt" o:ole="">
            <v:imagedata r:id="rId49" o:title=""/>
          </v:shape>
          <o:OLEObject Type="Embed" ProgID="Equation.DSMT4" ShapeID="_x0000_i1045" DrawAspect="Content" ObjectID="_1485676516" r:id="rId50"/>
        </w:object>
      </w:r>
      <w:r>
        <w:t xml:space="preserve"> in the numerator are</w:t>
      </w:r>
      <w:proofErr w:type="gramEnd"/>
      <w:r>
        <w:t xml:space="preserve"> then multiplied by 2/3, and </w:t>
      </w:r>
      <w:r w:rsidRPr="008E3917">
        <w:rPr>
          <w:i/>
        </w:rPr>
        <w:t>q</w:t>
      </w:r>
      <w:r w:rsidRPr="008E3917">
        <w:rPr>
          <w:i/>
          <w:vertAlign w:val="subscript"/>
        </w:rPr>
        <w:t>i</w:t>
      </w:r>
      <w:r>
        <w:t xml:space="preserve"> </w:t>
      </w:r>
      <w:r w:rsidRPr="00E23774">
        <w:t xml:space="preserve">is </w:t>
      </w:r>
      <w:r>
        <w:t xml:space="preserve">equal to 2 (and not to 3). Thus, the sum of </w:t>
      </w:r>
      <w:r w:rsidRPr="005D53E1">
        <w:rPr>
          <w:position w:val="-12"/>
        </w:rPr>
        <w:object w:dxaOrig="240" w:dyaOrig="380">
          <v:shape id="_x0000_i1046" type="#_x0000_t75" style="width:12pt;height:18.75pt" o:ole="">
            <v:imagedata r:id="rId49" o:title=""/>
          </v:shape>
          <o:OLEObject Type="Embed" ProgID="Equation.DSMT4" ShapeID="_x0000_i1046" DrawAspect="Content" ObjectID="_1485676517" r:id="rId51"/>
        </w:object>
      </w:r>
      <w:r>
        <w:t xml:space="preserve"> concerns two field normalized citation rates for </w:t>
      </w:r>
      <w:r w:rsidRPr="00CF4045">
        <w:rPr>
          <w:i/>
        </w:rPr>
        <w:t>P</w:t>
      </w:r>
      <w:r>
        <w:rPr>
          <w:i/>
          <w:vertAlign w:val="subscript"/>
        </w:rPr>
        <w:t>i</w:t>
      </w:r>
      <w:r>
        <w:t>, and the sum is multiplied by 1/2 (and not by 1/3)</w:t>
      </w:r>
      <m:oMath>
        <m:r>
          <w:rPr>
            <w:rFonts w:ascii="Cambria Math" w:hAnsi="Cambria Math"/>
          </w:rPr>
          <m:t xml:space="preserve">. </m:t>
        </m:r>
      </m:oMath>
    </w:p>
    <w:p w:rsidR="00D33278" w:rsidRDefault="00D33278" w:rsidP="00D33278">
      <w:pPr>
        <w:jc w:val="both"/>
      </w:pPr>
    </w:p>
    <w:p w:rsidR="00D33278" w:rsidRDefault="00D33278" w:rsidP="00D33278">
      <w:pPr>
        <w:jc w:val="both"/>
      </w:pPr>
      <w:r>
        <w:lastRenderedPageBreak/>
        <w:t xml:space="preserve">For Eq. (3), under the assumptions given, </w:t>
      </w:r>
      <w:proofErr w:type="spellStart"/>
      <w:r w:rsidRPr="00FE181B">
        <w:rPr>
          <w:i/>
        </w:rPr>
        <w:t>a</w:t>
      </w:r>
      <w:r w:rsidRPr="00FE181B">
        <w:rPr>
          <w:i/>
          <w:vertAlign w:val="subscript"/>
        </w:rPr>
        <w:t>i</w:t>
      </w:r>
      <w:proofErr w:type="spellEnd"/>
      <w:r>
        <w:t xml:space="preserve"> in the denominator and the rightmost sum in the numerator are multiplied by 2/3, and </w:t>
      </w:r>
      <w:r w:rsidRPr="008E3917">
        <w:rPr>
          <w:i/>
        </w:rPr>
        <w:t>q</w:t>
      </w:r>
      <w:r w:rsidRPr="008E3917">
        <w:rPr>
          <w:i/>
          <w:vertAlign w:val="subscript"/>
        </w:rPr>
        <w:t>i</w:t>
      </w:r>
      <w:r>
        <w:t xml:space="preserve"> </w:t>
      </w:r>
      <w:r w:rsidRPr="00E23774">
        <w:t xml:space="preserve">is </w:t>
      </w:r>
      <w:r>
        <w:t xml:space="preserve">equal to 2 (and not to 3). Thus, the sum concerns two ratios, both of which are weighted by 1/2 (and not by 1/3). </w:t>
      </w:r>
      <m:oMath>
        <m:r>
          <w:rPr>
            <w:rFonts w:ascii="Cambria Math" w:hAnsi="Cambria Math"/>
          </w:rPr>
          <m:t>∎</m:t>
        </m:r>
      </m:oMath>
    </w:p>
    <w:p w:rsidR="00D33278" w:rsidRDefault="00D33278" w:rsidP="00D33278">
      <w:pPr>
        <w:jc w:val="both"/>
      </w:pPr>
    </w:p>
    <w:p w:rsidR="00D33278" w:rsidRDefault="00D33278" w:rsidP="00D33278">
      <w:pPr>
        <w:jc w:val="both"/>
      </w:pPr>
      <w:r w:rsidRPr="00C749E8">
        <w:rPr>
          <w:b/>
        </w:rPr>
        <w:t>Example 2</w:t>
      </w:r>
      <w:r>
        <w:rPr>
          <w:b/>
        </w:rPr>
        <w:t>.2</w:t>
      </w:r>
      <w:r w:rsidRPr="00C749E8">
        <w:t xml:space="preserve"> (</w:t>
      </w:r>
      <w:proofErr w:type="spellStart"/>
      <w:r w:rsidRPr="00A1663D">
        <w:rPr>
          <w:i/>
        </w:rPr>
        <w:t>mjcf</w:t>
      </w:r>
      <w:proofErr w:type="spellEnd"/>
      <w:r>
        <w:t xml:space="preserve"> and </w:t>
      </w:r>
      <w:r w:rsidR="006B777A">
        <w:rPr>
          <w:i/>
        </w:rPr>
        <w:t>jtop</w:t>
      </w:r>
      <w:r w:rsidRPr="001319FE">
        <w:rPr>
          <w:i/>
        </w:rPr>
        <w:t>20%</w:t>
      </w:r>
      <w:r w:rsidRPr="00C749E8">
        <w:t xml:space="preserve">). </w:t>
      </w:r>
      <w:r>
        <w:t xml:space="preserve">Assume that the journal, </w:t>
      </w:r>
      <w:proofErr w:type="spellStart"/>
      <w:r w:rsidRPr="00DD3105">
        <w:rPr>
          <w:i/>
        </w:rPr>
        <w:t>J</w:t>
      </w:r>
      <w:r w:rsidRPr="00DD3105">
        <w:rPr>
          <w:i/>
          <w:vertAlign w:val="subscript"/>
        </w:rPr>
        <w:t>i</w:t>
      </w:r>
      <w:proofErr w:type="spellEnd"/>
      <w:r>
        <w:t xml:space="preserve">, of the </w:t>
      </w:r>
      <w:proofErr w:type="spellStart"/>
      <w:r w:rsidRPr="00DD3105">
        <w:rPr>
          <w:i/>
        </w:rPr>
        <w:t>i</w:t>
      </w:r>
      <w:r>
        <w:t>th</w:t>
      </w:r>
      <w:proofErr w:type="spellEnd"/>
      <w:r>
        <w:t xml:space="preserve"> A publication belongs to four subject categories. Assume that for the </w:t>
      </w:r>
      <w:proofErr w:type="spellStart"/>
      <w:r w:rsidRPr="00DD3105">
        <w:rPr>
          <w:i/>
        </w:rPr>
        <w:t>j</w:t>
      </w:r>
      <w:r>
        <w:t>th</w:t>
      </w:r>
      <w:proofErr w:type="spellEnd"/>
      <w:r>
        <w:t xml:space="preserve"> publication in </w:t>
      </w:r>
      <w:proofErr w:type="spellStart"/>
      <w:r w:rsidRPr="00DD3105">
        <w:rPr>
          <w:i/>
        </w:rPr>
        <w:t>J</w:t>
      </w:r>
      <w:r w:rsidRPr="00DD3105">
        <w:rPr>
          <w:i/>
          <w:vertAlign w:val="subscript"/>
        </w:rPr>
        <w:t>i</w:t>
      </w:r>
      <w:proofErr w:type="spellEnd"/>
      <w:r>
        <w:t xml:space="preserve">, say </w:t>
      </w:r>
      <w:proofErr w:type="spellStart"/>
      <w:r w:rsidRPr="00CF4045">
        <w:rPr>
          <w:i/>
        </w:rPr>
        <w:t>P</w:t>
      </w:r>
      <w:r w:rsidRPr="00CF4045">
        <w:rPr>
          <w:i/>
          <w:vertAlign w:val="subscript"/>
        </w:rPr>
        <w:t>j</w:t>
      </w:r>
      <w:proofErr w:type="spellEnd"/>
      <w:r>
        <w:t xml:space="preserve">, published a given year and of a given document type, two of the four subject categories have a field reference value less than 0.5. For Eq. (4), </w:t>
      </w:r>
      <w:r w:rsidRPr="00A14178">
        <w:t>2/4 is subtra</w:t>
      </w:r>
      <w:r>
        <w:t xml:space="preserve">cted from the denominator of </w:t>
      </w:r>
      <w:proofErr w:type="spellStart"/>
      <w:r w:rsidRPr="00DD3105">
        <w:rPr>
          <w:i/>
        </w:rPr>
        <w:t>jcf</w:t>
      </w:r>
      <w:r w:rsidRPr="00DD3105">
        <w:rPr>
          <w:i/>
          <w:vertAlign w:val="subscript"/>
        </w:rPr>
        <w:t>i</w:t>
      </w:r>
      <w:proofErr w:type="spellEnd"/>
      <w:r w:rsidRPr="00A14178">
        <w:t xml:space="preserve">, </w:t>
      </w:r>
      <w:r>
        <w:t xml:space="preserve">and </w:t>
      </w:r>
      <w:r w:rsidRPr="008C6158">
        <w:rPr>
          <w:position w:val="-16"/>
        </w:rPr>
        <w:object w:dxaOrig="279" w:dyaOrig="420">
          <v:shape id="_x0000_i1047" type="#_x0000_t75" style="width:12.75pt;height:20.25pt" o:ole="">
            <v:imagedata r:id="rId52" o:title=""/>
          </v:shape>
          <o:OLEObject Type="Embed" ProgID="Equation.DSMT4" ShapeID="_x0000_i1047" DrawAspect="Content" ObjectID="_1485676518" r:id="rId53"/>
        </w:object>
      </w:r>
      <w:r>
        <w:t xml:space="preserve">in its numerator is multiplied by 2/4. </w:t>
      </w:r>
      <w:proofErr w:type="spellStart"/>
      <w:r w:rsidRPr="00106789">
        <w:rPr>
          <w:i/>
        </w:rPr>
        <w:t>F</w:t>
      </w:r>
      <w:r w:rsidRPr="00106789">
        <w:rPr>
          <w:i/>
          <w:vertAlign w:val="subscript"/>
        </w:rPr>
        <w:t>i</w:t>
      </w:r>
      <w:r>
        <w:rPr>
          <w:i/>
          <w:vertAlign w:val="subscript"/>
        </w:rPr>
        <w:t>j</w:t>
      </w:r>
      <w:proofErr w:type="spellEnd"/>
      <w:r>
        <w:t xml:space="preserve"> </w:t>
      </w:r>
      <w:r w:rsidRPr="00E23774">
        <w:t xml:space="preserve">is </w:t>
      </w:r>
      <w:r>
        <w:t xml:space="preserve">equal to 2 (and not to 4). Thus, the sum of </w:t>
      </w:r>
      <w:r w:rsidRPr="008C6158">
        <w:rPr>
          <w:position w:val="-16"/>
        </w:rPr>
        <w:object w:dxaOrig="279" w:dyaOrig="420">
          <v:shape id="_x0000_i1048" type="#_x0000_t75" style="width:12.75pt;height:20.25pt" o:ole="">
            <v:imagedata r:id="rId52" o:title=""/>
          </v:shape>
          <o:OLEObject Type="Embed" ProgID="Equation.DSMT4" ShapeID="_x0000_i1048" DrawAspect="Content" ObjectID="_1485676519" r:id="rId54"/>
        </w:object>
      </w:r>
      <w:r>
        <w:t xml:space="preserve">concerns two field normalized citation rates for </w:t>
      </w:r>
      <w:proofErr w:type="spellStart"/>
      <w:r w:rsidRPr="00CF4045">
        <w:rPr>
          <w:i/>
        </w:rPr>
        <w:t>P</w:t>
      </w:r>
      <w:r w:rsidRPr="00CF4045">
        <w:rPr>
          <w:i/>
          <w:vertAlign w:val="subscript"/>
        </w:rPr>
        <w:t>j</w:t>
      </w:r>
      <w:proofErr w:type="spellEnd"/>
      <w:r>
        <w:t>, and the sum is multiplied by 1/2 (and not by 1/4).</w:t>
      </w:r>
    </w:p>
    <w:p w:rsidR="00D33278" w:rsidRDefault="00D33278" w:rsidP="00D33278">
      <w:pPr>
        <w:jc w:val="both"/>
      </w:pPr>
    </w:p>
    <w:p w:rsidR="00D33278" w:rsidRPr="00D33278" w:rsidRDefault="00D33278" w:rsidP="002308E0">
      <w:pPr>
        <w:jc w:val="both"/>
      </w:pPr>
      <w:r w:rsidRPr="008064BF">
        <w:t xml:space="preserve">For </w:t>
      </w:r>
      <w:r w:rsidRPr="008064BF">
        <w:rPr>
          <w:i/>
        </w:rPr>
        <w:t>jtop-20%</w:t>
      </w:r>
      <w:r>
        <w:t xml:space="preserve"> (Eq. (5</w:t>
      </w:r>
      <w:r w:rsidRPr="008064BF">
        <w:t xml:space="preserve">)), </w:t>
      </w:r>
      <w:r>
        <w:t xml:space="preserve">under the assumptions given, two of the four rankings in which </w:t>
      </w:r>
      <w:proofErr w:type="spellStart"/>
      <w:r w:rsidRPr="00DD3105">
        <w:rPr>
          <w:i/>
        </w:rPr>
        <w:t>J</w:t>
      </w:r>
      <w:r w:rsidRPr="00DD3105">
        <w:rPr>
          <w:i/>
          <w:vertAlign w:val="subscript"/>
        </w:rPr>
        <w:t>i</w:t>
      </w:r>
      <w:proofErr w:type="spellEnd"/>
      <w:r>
        <w:t xml:space="preserve"> occurs are such that </w:t>
      </w:r>
      <w:proofErr w:type="spellStart"/>
      <w:r w:rsidRPr="00CF4045">
        <w:rPr>
          <w:i/>
        </w:rPr>
        <w:t>P</w:t>
      </w:r>
      <w:r w:rsidRPr="00CF4045">
        <w:rPr>
          <w:i/>
          <w:vertAlign w:val="subscript"/>
        </w:rPr>
        <w:t>j</w:t>
      </w:r>
      <w:proofErr w:type="spellEnd"/>
      <w:r>
        <w:t xml:space="preserve"> does not contribute to the </w:t>
      </w:r>
      <w:r w:rsidRPr="00327B6B">
        <w:t>mean field normalized citation rates</w:t>
      </w:r>
      <w:r>
        <w:t xml:space="preserve"> of </w:t>
      </w:r>
      <w:proofErr w:type="spellStart"/>
      <w:r w:rsidRPr="00DD3105">
        <w:rPr>
          <w:i/>
        </w:rPr>
        <w:t>J</w:t>
      </w:r>
      <w:r w:rsidRPr="00DD3105">
        <w:rPr>
          <w:i/>
          <w:vertAlign w:val="subscript"/>
        </w:rPr>
        <w:t>i</w:t>
      </w:r>
      <w:proofErr w:type="spellEnd"/>
      <w:r>
        <w:t xml:space="preserve"> in the rankings. </w:t>
      </w:r>
      <m:oMath>
        <m:r>
          <w:rPr>
            <w:rFonts w:ascii="Cambria Math" w:hAnsi="Cambria Math"/>
          </w:rPr>
          <m:t>∎</m:t>
        </m:r>
      </m:oMath>
    </w:p>
    <w:p w:rsidR="003C4110" w:rsidRPr="009A37C3" w:rsidRDefault="003C4110" w:rsidP="00FA040C"/>
    <w:p w:rsidR="0071455E" w:rsidRPr="00F12EFF" w:rsidRDefault="001A523D" w:rsidP="003C4110">
      <w:pPr>
        <w:pStyle w:val="Heading2"/>
      </w:pPr>
      <w:r>
        <w:t>References</w:t>
      </w:r>
    </w:p>
    <w:p w:rsidR="0071455E" w:rsidRPr="0040042F" w:rsidRDefault="0071455E" w:rsidP="00FA040C">
      <w:pPr>
        <w:jc w:val="both"/>
        <w:rPr>
          <w:noProof/>
        </w:rPr>
      </w:pPr>
    </w:p>
    <w:p w:rsidR="006A13C0" w:rsidRPr="006A13C0" w:rsidRDefault="006A13C0" w:rsidP="006A13C0">
      <w:pPr>
        <w:pStyle w:val="Bibliography"/>
        <w:rPr>
          <w:rFonts w:ascii="Calibri" w:hAnsi="Calibri"/>
        </w:rPr>
      </w:pPr>
      <w:r>
        <w:rPr>
          <w:noProof/>
        </w:rPr>
        <w:fldChar w:fldCharType="begin"/>
      </w:r>
      <w:r w:rsidRPr="006A13C0">
        <w:rPr>
          <w:noProof/>
        </w:rPr>
        <w:instrText xml:space="preserve"> ADDIN ZOTERO_BIBL {"custom":[]} CSL_BIBLIOGRAPHY </w:instrText>
      </w:r>
      <w:r>
        <w:rPr>
          <w:noProof/>
        </w:rPr>
        <w:fldChar w:fldCharType="separate"/>
      </w:r>
      <w:r w:rsidRPr="006A13C0">
        <w:rPr>
          <w:rFonts w:ascii="Calibri" w:hAnsi="Calibri"/>
        </w:rPr>
        <w:t xml:space="preserve">Gunnarsson, M., Fröberg, J., Jacobsson, C., &amp; Karlsson, S. (2011). </w:t>
      </w:r>
      <w:r w:rsidRPr="006A13C0">
        <w:rPr>
          <w:rFonts w:ascii="Calibri" w:hAnsi="Calibri"/>
          <w:i/>
          <w:iCs/>
        </w:rPr>
        <w:t>Subject classification of  publications in the ISI database based on references  and citations</w:t>
      </w:r>
      <w:r w:rsidRPr="006A13C0">
        <w:rPr>
          <w:rFonts w:ascii="Calibri" w:hAnsi="Calibri"/>
        </w:rPr>
        <w:t xml:space="preserve"> (No. 4).</w:t>
      </w:r>
    </w:p>
    <w:p w:rsidR="006A13C0" w:rsidRDefault="006A13C0" w:rsidP="006A13C0">
      <w:pPr>
        <w:jc w:val="both"/>
        <w:rPr>
          <w:noProof/>
        </w:rPr>
      </w:pPr>
      <w:r>
        <w:rPr>
          <w:noProof/>
        </w:rPr>
        <w:fldChar w:fldCharType="end"/>
      </w:r>
    </w:p>
    <w:p w:rsidR="003D5A1C" w:rsidRDefault="0071455E" w:rsidP="00FA040C">
      <w:pPr>
        <w:ind w:left="720" w:hanging="720"/>
        <w:jc w:val="both"/>
        <w:rPr>
          <w:noProof/>
        </w:rPr>
      </w:pPr>
      <w:r w:rsidRPr="003E1EC9">
        <w:rPr>
          <w:noProof/>
        </w:rPr>
        <w:t xml:space="preserve">Waltman, L., &amp; Schreiber, M. (2013). On the calculation of percentile-based bibliometric indicators. </w:t>
      </w:r>
      <w:r w:rsidRPr="003E1EC9">
        <w:rPr>
          <w:i/>
          <w:noProof/>
        </w:rPr>
        <w:t>Journal of the American Society for Information Science and Technology, 64</w:t>
      </w:r>
      <w:r w:rsidRPr="003E1EC9">
        <w:rPr>
          <w:noProof/>
        </w:rPr>
        <w:t>(2), 372-379.</w:t>
      </w:r>
    </w:p>
    <w:p w:rsidR="006A13C0" w:rsidRDefault="006A13C0" w:rsidP="00FA040C">
      <w:pPr>
        <w:ind w:left="720" w:hanging="720"/>
        <w:jc w:val="both"/>
        <w:rPr>
          <w:noProof/>
        </w:rPr>
      </w:pPr>
    </w:p>
    <w:p w:rsidR="003D5A1C" w:rsidRPr="003D5A1C" w:rsidRDefault="003D5A1C" w:rsidP="00FA040C"/>
    <w:p w:rsidR="003D5A1C" w:rsidRPr="003D5A1C" w:rsidRDefault="003D5A1C" w:rsidP="00FA040C"/>
    <w:p w:rsidR="003D5A1C" w:rsidRPr="003D5A1C" w:rsidRDefault="003D5A1C" w:rsidP="00FA040C"/>
    <w:p w:rsidR="003D5A1C" w:rsidRPr="003D5A1C" w:rsidRDefault="003D5A1C" w:rsidP="00FA040C"/>
    <w:p w:rsidR="003D5A1C" w:rsidRPr="003D5A1C" w:rsidRDefault="003D5A1C" w:rsidP="00FA040C"/>
    <w:p w:rsidR="003D5A1C" w:rsidRPr="003D5A1C" w:rsidRDefault="003D5A1C" w:rsidP="00FA040C"/>
    <w:p w:rsidR="003D5A1C" w:rsidRPr="003D5A1C" w:rsidRDefault="003D5A1C" w:rsidP="00FA040C"/>
    <w:p w:rsidR="003D5A1C" w:rsidRPr="003D5A1C" w:rsidRDefault="003D5A1C" w:rsidP="00FA040C"/>
    <w:p w:rsidR="003D5A1C" w:rsidRPr="003D5A1C" w:rsidRDefault="003D5A1C" w:rsidP="00FA040C"/>
    <w:p w:rsidR="003D5A1C" w:rsidRPr="003D5A1C" w:rsidRDefault="003D5A1C" w:rsidP="00FA040C"/>
    <w:p w:rsidR="003D5A1C" w:rsidRPr="003D5A1C" w:rsidRDefault="003D5A1C" w:rsidP="00FA040C"/>
    <w:p w:rsidR="003D5A1C" w:rsidRPr="003D5A1C" w:rsidRDefault="003D5A1C" w:rsidP="00FA040C"/>
    <w:p w:rsidR="003D5A1C" w:rsidRPr="003D5A1C" w:rsidRDefault="003D5A1C" w:rsidP="00FA040C"/>
    <w:p w:rsidR="003D5A1C" w:rsidRPr="003D5A1C" w:rsidRDefault="003D5A1C" w:rsidP="00FA040C"/>
    <w:sectPr w:rsidR="003D5A1C" w:rsidRPr="003D5A1C">
      <w:footerReference w:type="default" r:id="rId5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55D9" w:rsidRDefault="005855D9" w:rsidP="004A3692">
      <w:r>
        <w:separator/>
      </w:r>
    </w:p>
  </w:endnote>
  <w:endnote w:type="continuationSeparator" w:id="0">
    <w:p w:rsidR="005855D9" w:rsidRDefault="005855D9" w:rsidP="004A3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941114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96B4E" w:rsidRDefault="00596B4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4CB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96B4E" w:rsidRDefault="00596B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55D9" w:rsidRDefault="005855D9" w:rsidP="004A3692">
      <w:r>
        <w:separator/>
      </w:r>
    </w:p>
  </w:footnote>
  <w:footnote w:type="continuationSeparator" w:id="0">
    <w:p w:rsidR="005855D9" w:rsidRDefault="005855D9" w:rsidP="004A3692">
      <w:r>
        <w:continuationSeparator/>
      </w:r>
    </w:p>
  </w:footnote>
  <w:footnote w:id="1">
    <w:p w:rsidR="00596B4E" w:rsidRPr="00A54154" w:rsidRDefault="00596B4E">
      <w:pPr>
        <w:pStyle w:val="FootnoteText"/>
      </w:pPr>
      <w:r>
        <w:rPr>
          <w:rStyle w:val="FootnoteReference"/>
        </w:rPr>
        <w:footnoteRef/>
      </w:r>
      <w:r w:rsidRPr="007B5EEB">
        <w:t xml:space="preserve"> </w:t>
      </w:r>
      <w:r w:rsidR="0011258A">
        <w:t>W</w:t>
      </w:r>
      <w:r w:rsidR="007B5EEB" w:rsidRPr="007B5EEB">
        <w:t>e</w:t>
      </w:r>
      <w:r w:rsidR="00A54154">
        <w:t>ights are used for the citation</w:t>
      </w:r>
      <w:r w:rsidR="007B5EEB" w:rsidRPr="007B5EEB">
        <w:t xml:space="preserve"> distributions at stake. </w:t>
      </w:r>
      <w:r w:rsidR="00A54154" w:rsidRPr="00A54154">
        <w:t xml:space="preserve">Each citation value in a given distribution is assigned the weight </w:t>
      </w:r>
      <w:r w:rsidRPr="00A54154">
        <w:t>1/</w:t>
      </w:r>
      <w:r w:rsidRPr="00A54154">
        <w:rPr>
          <w:i/>
        </w:rPr>
        <w:t>k</w:t>
      </w:r>
      <w:r w:rsidRPr="00A54154">
        <w:t xml:space="preserve">, </w:t>
      </w:r>
      <w:r w:rsidR="00A54154">
        <w:t>where</w:t>
      </w:r>
      <w:r w:rsidRPr="00A54154">
        <w:t xml:space="preserve"> </w:t>
      </w:r>
      <w:r w:rsidRPr="00A54154">
        <w:rPr>
          <w:i/>
        </w:rPr>
        <w:t xml:space="preserve">k </w:t>
      </w:r>
      <w:r w:rsidR="00A54154">
        <w:t>is the numbe</w:t>
      </w:r>
      <w:r w:rsidR="00D21E4E">
        <w:t xml:space="preserve">r of subject categories of </w:t>
      </w:r>
      <w:r w:rsidR="00A54154">
        <w:t>the corresponding publication</w:t>
      </w:r>
      <w:r w:rsidRPr="00A54154">
        <w:t xml:space="preserve">. </w:t>
      </w:r>
      <w:r w:rsidR="00A54154">
        <w:t xml:space="preserve">The weight is the fraction with which the publication contributes to each of its subject categories. </w:t>
      </w:r>
      <w:r w:rsidR="00A54154" w:rsidRPr="00A54154">
        <w:t xml:space="preserve">The proportion publications with less than </w:t>
      </w:r>
      <w:r w:rsidRPr="00A54154">
        <w:rPr>
          <w:i/>
        </w:rPr>
        <w:t>c</w:t>
      </w:r>
      <w:r w:rsidRPr="00A54154">
        <w:t xml:space="preserve"> </w:t>
      </w:r>
      <w:r w:rsidR="00A54154" w:rsidRPr="00A54154">
        <w:t>citations is then the sum</w:t>
      </w:r>
      <w:r w:rsidR="00D21E4E">
        <w:t xml:space="preserve"> o</w:t>
      </w:r>
      <w:r w:rsidR="00A54154" w:rsidRPr="00A54154">
        <w:t xml:space="preserve">f the weights </w:t>
      </w:r>
      <w:r w:rsidR="0012797B">
        <w:t>for</w:t>
      </w:r>
      <w:r w:rsidR="00A54154" w:rsidRPr="00A54154">
        <w:t xml:space="preserve"> the citation values that are less than </w:t>
      </w:r>
      <w:r w:rsidRPr="00A54154">
        <w:rPr>
          <w:i/>
        </w:rPr>
        <w:t>c</w:t>
      </w:r>
      <w:r w:rsidR="00A54154">
        <w:t xml:space="preserve">, divided </w:t>
      </w:r>
      <w:r w:rsidR="00D21E4E">
        <w:t>by</w:t>
      </w:r>
      <w:r w:rsidR="00A54154">
        <w:t xml:space="preserve"> the sum of weights for all the citation values</w:t>
      </w:r>
      <w:r w:rsidR="00A9286C">
        <w:t xml:space="preserve"> in the distribution</w:t>
      </w:r>
      <w:r w:rsidR="00A54154">
        <w:t>.</w:t>
      </w:r>
    </w:p>
  </w:footnote>
  <w:footnote w:id="2">
    <w:p w:rsidR="004C396B" w:rsidRPr="004C396B" w:rsidRDefault="004C396B">
      <w:pPr>
        <w:pStyle w:val="FootnoteText"/>
      </w:pPr>
      <w:r>
        <w:rPr>
          <w:rStyle w:val="FootnoteReference"/>
        </w:rPr>
        <w:footnoteRef/>
      </w:r>
      <w:r>
        <w:t xml:space="preserve"> Cf. Section 2.5 below.</w:t>
      </w:r>
    </w:p>
  </w:footnote>
  <w:footnote w:id="3">
    <w:p w:rsidR="00327B6B" w:rsidRPr="00327B6B" w:rsidRDefault="00327B6B">
      <w:pPr>
        <w:pStyle w:val="FootnoteText"/>
      </w:pPr>
      <w:r>
        <w:rPr>
          <w:rStyle w:val="FootnoteReference"/>
        </w:rPr>
        <w:footnoteRef/>
      </w:r>
      <w:r w:rsidRPr="00327B6B">
        <w:t xml:space="preserve"> </w:t>
      </w:r>
      <w:r>
        <w:t xml:space="preserve">Note that </w:t>
      </w:r>
      <w:r w:rsidR="0046180E">
        <w:t xml:space="preserve">for a given journal in the ranking, </w:t>
      </w:r>
      <w:r>
        <w:t>these rates may vary across</w:t>
      </w:r>
      <w:r w:rsidR="00D1221D">
        <w:t xml:space="preserve"> </w:t>
      </w:r>
      <w:r w:rsidR="00A40F41">
        <w:t xml:space="preserve">the different rankings, corresponding to different subject categories, </w:t>
      </w:r>
      <w:r w:rsidR="00FE6DC3">
        <w:t xml:space="preserve">in which </w:t>
      </w:r>
      <w:r w:rsidR="008F202A">
        <w:t xml:space="preserve">the </w:t>
      </w:r>
      <w:r w:rsidR="00D1221D">
        <w:t>journal</w:t>
      </w:r>
      <w:r w:rsidR="00D500DD">
        <w:t xml:space="preserve"> </w:t>
      </w:r>
      <w:r w:rsidR="00FE6DC3">
        <w:t>occurs</w:t>
      </w:r>
      <w:r w:rsidR="00D1221D">
        <w:t>.</w:t>
      </w:r>
    </w:p>
  </w:footnote>
  <w:footnote w:id="4">
    <w:p w:rsidR="00BA7993" w:rsidRPr="00BA7993" w:rsidRDefault="00BA7993">
      <w:pPr>
        <w:pStyle w:val="FootnoteText"/>
      </w:pPr>
      <w:r>
        <w:rPr>
          <w:rStyle w:val="FootnoteReference"/>
        </w:rPr>
        <w:footnoteRef/>
      </w:r>
      <w:r w:rsidRPr="00BA7993">
        <w:t xml:space="preserve"> </w:t>
      </w:r>
      <w:r w:rsidR="00D1787E">
        <w:t>A</w:t>
      </w:r>
      <w:r w:rsidR="00D1787E" w:rsidRPr="00A54154">
        <w:t xml:space="preserve"> </w:t>
      </w:r>
      <w:r w:rsidR="00D904E5" w:rsidRPr="00D904E5">
        <w:t xml:space="preserve">non-multidisciplinary </w:t>
      </w:r>
      <w:r w:rsidR="00D1787E">
        <w:t xml:space="preserve">journal </w:t>
      </w:r>
      <w:r w:rsidR="003F1C7F">
        <w:t xml:space="preserve">in </w:t>
      </w:r>
      <w:r w:rsidR="00F67741">
        <w:t>t</w:t>
      </w:r>
      <w:r w:rsidR="00F60FAA">
        <w:t>he</w:t>
      </w:r>
      <w:r w:rsidR="00D1787E">
        <w:t xml:space="preserve"> ranking contributes</w:t>
      </w:r>
      <w:r w:rsidR="003C7D23">
        <w:t xml:space="preserve">, </w:t>
      </w:r>
      <w:r w:rsidR="00F67741">
        <w:t xml:space="preserve">if each of its publications has </w:t>
      </w:r>
      <w:r w:rsidR="003F1C7F">
        <w:t>a field reference value</w:t>
      </w:r>
      <w:r w:rsidR="000B07EE">
        <w:t>,</w:t>
      </w:r>
      <w:r w:rsidR="00BD7882">
        <w:t xml:space="preserve"> </w:t>
      </w:r>
      <w:r w:rsidR="003F1C7F">
        <w:t xml:space="preserve">with respect to the </w:t>
      </w:r>
      <w:proofErr w:type="spellStart"/>
      <w:r w:rsidR="003F1C7F" w:rsidRPr="005C076F">
        <w:rPr>
          <w:i/>
        </w:rPr>
        <w:t>q</w:t>
      </w:r>
      <w:r w:rsidR="003F1C7F">
        <w:t>th</w:t>
      </w:r>
      <w:proofErr w:type="spellEnd"/>
      <w:r w:rsidR="003F1C7F">
        <w:t xml:space="preserve"> subject category of </w:t>
      </w:r>
      <w:proofErr w:type="spellStart"/>
      <w:r w:rsidR="003F1C7F" w:rsidRPr="005C076F">
        <w:rPr>
          <w:i/>
        </w:rPr>
        <w:t>J</w:t>
      </w:r>
      <w:r w:rsidR="003F1C7F" w:rsidRPr="005C076F">
        <w:rPr>
          <w:i/>
          <w:vertAlign w:val="subscript"/>
        </w:rPr>
        <w:t>i</w:t>
      </w:r>
      <w:proofErr w:type="spellEnd"/>
      <w:r w:rsidR="000B07EE">
        <w:t xml:space="preserve">, </w:t>
      </w:r>
      <w:r w:rsidR="003F1C7F">
        <w:t>greater than or equal to 0.5</w:t>
      </w:r>
      <w:r w:rsidR="00327B6B">
        <w:t xml:space="preserve"> (see Section 2 below)</w:t>
      </w:r>
      <w:r w:rsidR="003F1C7F">
        <w:t xml:space="preserve">, </w:t>
      </w:r>
      <w:r w:rsidR="00D1787E">
        <w:t>with (1/</w:t>
      </w:r>
      <w:r w:rsidR="00D1787E" w:rsidRPr="00372707">
        <w:rPr>
          <w:i/>
        </w:rPr>
        <w:t>k</w:t>
      </w:r>
      <w:proofErr w:type="gramStart"/>
      <w:r w:rsidR="00D1787E">
        <w:t>)</w:t>
      </w:r>
      <w:r w:rsidR="00D1787E" w:rsidRPr="00372707">
        <w:rPr>
          <w:i/>
        </w:rPr>
        <w:t>m</w:t>
      </w:r>
      <w:proofErr w:type="gramEnd"/>
      <w:r w:rsidR="00D1787E">
        <w:t xml:space="preserve"> publications to the ranking, where </w:t>
      </w:r>
      <w:r w:rsidR="00D1787E" w:rsidRPr="00372707">
        <w:rPr>
          <w:i/>
        </w:rPr>
        <w:t>k</w:t>
      </w:r>
      <w:r w:rsidR="00D1787E">
        <w:t xml:space="preserve"> i</w:t>
      </w:r>
      <w:r w:rsidR="00D76D98">
        <w:t xml:space="preserve">s the  number of subject categories </w:t>
      </w:r>
      <w:r w:rsidR="00D1787E">
        <w:t xml:space="preserve">of the journal and </w:t>
      </w:r>
      <w:r w:rsidR="00D1787E" w:rsidRPr="00372707">
        <w:rPr>
          <w:i/>
        </w:rPr>
        <w:t>m</w:t>
      </w:r>
      <w:r w:rsidR="00D1787E">
        <w:t xml:space="preserve"> the number </w:t>
      </w:r>
      <w:r w:rsidR="00372707">
        <w:t>of publications of the journal.</w:t>
      </w:r>
    </w:p>
  </w:footnote>
  <w:footnote w:id="5">
    <w:p w:rsidR="00D33278" w:rsidRPr="00CE0DBF" w:rsidRDefault="00D33278" w:rsidP="00D33278">
      <w:pPr>
        <w:pStyle w:val="FootnoteText"/>
      </w:pPr>
      <w:r>
        <w:rPr>
          <w:rStyle w:val="FootnoteReference"/>
        </w:rPr>
        <w:footnoteRef/>
      </w:r>
      <w:r w:rsidRPr="00623F80">
        <w:t xml:space="preserve"> Such field reference values might give rise to very large field normalized citation rates </w:t>
      </w:r>
      <w:r>
        <w:t>in spite of few citations.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A3B40"/>
    <w:multiLevelType w:val="hybridMultilevel"/>
    <w:tmpl w:val="77127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57A82"/>
    <w:multiLevelType w:val="multilevel"/>
    <w:tmpl w:val="5F3E4F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565D6665"/>
    <w:multiLevelType w:val="hybridMultilevel"/>
    <w:tmpl w:val="0A2A4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0A7"/>
    <w:rsid w:val="00013323"/>
    <w:rsid w:val="00021A5B"/>
    <w:rsid w:val="00026B71"/>
    <w:rsid w:val="00040737"/>
    <w:rsid w:val="00054DCE"/>
    <w:rsid w:val="0006131F"/>
    <w:rsid w:val="00065674"/>
    <w:rsid w:val="00065FD2"/>
    <w:rsid w:val="000704D9"/>
    <w:rsid w:val="0007564A"/>
    <w:rsid w:val="00081858"/>
    <w:rsid w:val="00083EC0"/>
    <w:rsid w:val="00085011"/>
    <w:rsid w:val="00085039"/>
    <w:rsid w:val="000A2C5C"/>
    <w:rsid w:val="000B07EE"/>
    <w:rsid w:val="000C0508"/>
    <w:rsid w:val="000D66E4"/>
    <w:rsid w:val="000E5210"/>
    <w:rsid w:val="000E7BA3"/>
    <w:rsid w:val="000F4CC8"/>
    <w:rsid w:val="000F5041"/>
    <w:rsid w:val="000F573C"/>
    <w:rsid w:val="00101236"/>
    <w:rsid w:val="001059A3"/>
    <w:rsid w:val="00106789"/>
    <w:rsid w:val="0011258A"/>
    <w:rsid w:val="00112A97"/>
    <w:rsid w:val="00120B72"/>
    <w:rsid w:val="00123415"/>
    <w:rsid w:val="0012797B"/>
    <w:rsid w:val="001319FE"/>
    <w:rsid w:val="00131CDB"/>
    <w:rsid w:val="00136DAB"/>
    <w:rsid w:val="0013712F"/>
    <w:rsid w:val="00137238"/>
    <w:rsid w:val="001408BB"/>
    <w:rsid w:val="00145EE3"/>
    <w:rsid w:val="00155DB8"/>
    <w:rsid w:val="001647F8"/>
    <w:rsid w:val="00176F34"/>
    <w:rsid w:val="00181F46"/>
    <w:rsid w:val="00186647"/>
    <w:rsid w:val="00187E9D"/>
    <w:rsid w:val="001A416E"/>
    <w:rsid w:val="001A4170"/>
    <w:rsid w:val="001A523D"/>
    <w:rsid w:val="001A6D6E"/>
    <w:rsid w:val="001B517E"/>
    <w:rsid w:val="001B6119"/>
    <w:rsid w:val="001C0D38"/>
    <w:rsid w:val="001C6F14"/>
    <w:rsid w:val="001E2089"/>
    <w:rsid w:val="002068C2"/>
    <w:rsid w:val="00210EC9"/>
    <w:rsid w:val="00220145"/>
    <w:rsid w:val="00220D6D"/>
    <w:rsid w:val="002227D8"/>
    <w:rsid w:val="00224040"/>
    <w:rsid w:val="002308E0"/>
    <w:rsid w:val="00237A7F"/>
    <w:rsid w:val="002554BC"/>
    <w:rsid w:val="00256D5F"/>
    <w:rsid w:val="002573E2"/>
    <w:rsid w:val="00261D9D"/>
    <w:rsid w:val="002772DC"/>
    <w:rsid w:val="00280214"/>
    <w:rsid w:val="00280424"/>
    <w:rsid w:val="002818ED"/>
    <w:rsid w:val="00294973"/>
    <w:rsid w:val="00297F34"/>
    <w:rsid w:val="002B30FE"/>
    <w:rsid w:val="002B73EE"/>
    <w:rsid w:val="002D6788"/>
    <w:rsid w:val="002D6DA5"/>
    <w:rsid w:val="002E27A0"/>
    <w:rsid w:val="002E3570"/>
    <w:rsid w:val="002E5B93"/>
    <w:rsid w:val="00305C85"/>
    <w:rsid w:val="00314182"/>
    <w:rsid w:val="0032505F"/>
    <w:rsid w:val="00327345"/>
    <w:rsid w:val="00327B6B"/>
    <w:rsid w:val="00330FB7"/>
    <w:rsid w:val="00341CF5"/>
    <w:rsid w:val="00344CB3"/>
    <w:rsid w:val="00345C79"/>
    <w:rsid w:val="00346405"/>
    <w:rsid w:val="00347F5F"/>
    <w:rsid w:val="00350BE8"/>
    <w:rsid w:val="003519CC"/>
    <w:rsid w:val="00351FC3"/>
    <w:rsid w:val="00363E02"/>
    <w:rsid w:val="0036487E"/>
    <w:rsid w:val="00372707"/>
    <w:rsid w:val="00375673"/>
    <w:rsid w:val="00384AE2"/>
    <w:rsid w:val="00386DC1"/>
    <w:rsid w:val="003B608E"/>
    <w:rsid w:val="003C4110"/>
    <w:rsid w:val="003C656D"/>
    <w:rsid w:val="003C7D23"/>
    <w:rsid w:val="003D5A1C"/>
    <w:rsid w:val="003E1850"/>
    <w:rsid w:val="003E2E03"/>
    <w:rsid w:val="003F1C7F"/>
    <w:rsid w:val="003F41DA"/>
    <w:rsid w:val="003F4AE9"/>
    <w:rsid w:val="0040042F"/>
    <w:rsid w:val="00402542"/>
    <w:rsid w:val="00407690"/>
    <w:rsid w:val="004153AD"/>
    <w:rsid w:val="00432E6E"/>
    <w:rsid w:val="0044164D"/>
    <w:rsid w:val="0044640B"/>
    <w:rsid w:val="00453369"/>
    <w:rsid w:val="00455FD7"/>
    <w:rsid w:val="0046163F"/>
    <w:rsid w:val="0046180E"/>
    <w:rsid w:val="00467888"/>
    <w:rsid w:val="004715BD"/>
    <w:rsid w:val="00476CE2"/>
    <w:rsid w:val="004822ED"/>
    <w:rsid w:val="00483880"/>
    <w:rsid w:val="00484DFD"/>
    <w:rsid w:val="00496839"/>
    <w:rsid w:val="004A3692"/>
    <w:rsid w:val="004C25F6"/>
    <w:rsid w:val="004C396B"/>
    <w:rsid w:val="004C4267"/>
    <w:rsid w:val="004C4666"/>
    <w:rsid w:val="004E2EDF"/>
    <w:rsid w:val="004F017C"/>
    <w:rsid w:val="004F2B64"/>
    <w:rsid w:val="00505385"/>
    <w:rsid w:val="00511870"/>
    <w:rsid w:val="00511C38"/>
    <w:rsid w:val="0051342F"/>
    <w:rsid w:val="00517AB3"/>
    <w:rsid w:val="00520450"/>
    <w:rsid w:val="005272C2"/>
    <w:rsid w:val="005431CB"/>
    <w:rsid w:val="0054421A"/>
    <w:rsid w:val="00544E6C"/>
    <w:rsid w:val="00555000"/>
    <w:rsid w:val="0056030A"/>
    <w:rsid w:val="00561D1D"/>
    <w:rsid w:val="005639FE"/>
    <w:rsid w:val="00565E0F"/>
    <w:rsid w:val="00574213"/>
    <w:rsid w:val="005819AF"/>
    <w:rsid w:val="00582E14"/>
    <w:rsid w:val="005855D9"/>
    <w:rsid w:val="00586879"/>
    <w:rsid w:val="00590048"/>
    <w:rsid w:val="00596B4E"/>
    <w:rsid w:val="005A19B7"/>
    <w:rsid w:val="005A1BFE"/>
    <w:rsid w:val="005A7EB9"/>
    <w:rsid w:val="005B2813"/>
    <w:rsid w:val="005C076F"/>
    <w:rsid w:val="005C54AE"/>
    <w:rsid w:val="005C79BF"/>
    <w:rsid w:val="005D53E1"/>
    <w:rsid w:val="005E20B0"/>
    <w:rsid w:val="005F244A"/>
    <w:rsid w:val="005F354A"/>
    <w:rsid w:val="00600B1C"/>
    <w:rsid w:val="00622432"/>
    <w:rsid w:val="00623F80"/>
    <w:rsid w:val="006265EF"/>
    <w:rsid w:val="00635DF1"/>
    <w:rsid w:val="0064232E"/>
    <w:rsid w:val="0065124A"/>
    <w:rsid w:val="006530CD"/>
    <w:rsid w:val="0066510C"/>
    <w:rsid w:val="00682C84"/>
    <w:rsid w:val="006832CB"/>
    <w:rsid w:val="006934B0"/>
    <w:rsid w:val="0069536E"/>
    <w:rsid w:val="00695675"/>
    <w:rsid w:val="006965D8"/>
    <w:rsid w:val="006A11D3"/>
    <w:rsid w:val="006A13C0"/>
    <w:rsid w:val="006A4387"/>
    <w:rsid w:val="006B322C"/>
    <w:rsid w:val="006B777A"/>
    <w:rsid w:val="006B7FDF"/>
    <w:rsid w:val="006C06AE"/>
    <w:rsid w:val="006C5F5D"/>
    <w:rsid w:val="006E70A7"/>
    <w:rsid w:val="006F3446"/>
    <w:rsid w:val="006F664E"/>
    <w:rsid w:val="00704077"/>
    <w:rsid w:val="00711E09"/>
    <w:rsid w:val="0071455E"/>
    <w:rsid w:val="00722BC1"/>
    <w:rsid w:val="007409A5"/>
    <w:rsid w:val="00740A45"/>
    <w:rsid w:val="00747953"/>
    <w:rsid w:val="00787E1C"/>
    <w:rsid w:val="007A5BA7"/>
    <w:rsid w:val="007B5EEB"/>
    <w:rsid w:val="007B60FE"/>
    <w:rsid w:val="007B6139"/>
    <w:rsid w:val="007D4C4A"/>
    <w:rsid w:val="007E26EE"/>
    <w:rsid w:val="007E7307"/>
    <w:rsid w:val="007F3FDD"/>
    <w:rsid w:val="008064BF"/>
    <w:rsid w:val="00807D2F"/>
    <w:rsid w:val="00822D78"/>
    <w:rsid w:val="0082712F"/>
    <w:rsid w:val="0082717B"/>
    <w:rsid w:val="008300CF"/>
    <w:rsid w:val="00833EB8"/>
    <w:rsid w:val="00837EC5"/>
    <w:rsid w:val="008568EE"/>
    <w:rsid w:val="0086730C"/>
    <w:rsid w:val="008718ED"/>
    <w:rsid w:val="0087492D"/>
    <w:rsid w:val="00880ACD"/>
    <w:rsid w:val="00883A51"/>
    <w:rsid w:val="0088542D"/>
    <w:rsid w:val="008B07D9"/>
    <w:rsid w:val="008C6158"/>
    <w:rsid w:val="008D228A"/>
    <w:rsid w:val="008D4A2E"/>
    <w:rsid w:val="008D50C0"/>
    <w:rsid w:val="008D69A0"/>
    <w:rsid w:val="008E1A6E"/>
    <w:rsid w:val="008E3917"/>
    <w:rsid w:val="008E3FD0"/>
    <w:rsid w:val="008E4DB2"/>
    <w:rsid w:val="008E687F"/>
    <w:rsid w:val="008F0AB7"/>
    <w:rsid w:val="008F202A"/>
    <w:rsid w:val="008F246F"/>
    <w:rsid w:val="008F6403"/>
    <w:rsid w:val="008F74E5"/>
    <w:rsid w:val="00901C8E"/>
    <w:rsid w:val="00902FDC"/>
    <w:rsid w:val="00925646"/>
    <w:rsid w:val="0093334D"/>
    <w:rsid w:val="0094197A"/>
    <w:rsid w:val="00946C46"/>
    <w:rsid w:val="00955FCA"/>
    <w:rsid w:val="009576D8"/>
    <w:rsid w:val="00960951"/>
    <w:rsid w:val="00962931"/>
    <w:rsid w:val="009648AD"/>
    <w:rsid w:val="0096752E"/>
    <w:rsid w:val="0099678D"/>
    <w:rsid w:val="00996E01"/>
    <w:rsid w:val="009A37C3"/>
    <w:rsid w:val="009A7C89"/>
    <w:rsid w:val="009B01F8"/>
    <w:rsid w:val="009B5C14"/>
    <w:rsid w:val="009B6F84"/>
    <w:rsid w:val="009B7371"/>
    <w:rsid w:val="009B753A"/>
    <w:rsid w:val="009C55DE"/>
    <w:rsid w:val="009C6E10"/>
    <w:rsid w:val="009E0F76"/>
    <w:rsid w:val="009E173B"/>
    <w:rsid w:val="009E3069"/>
    <w:rsid w:val="009E675D"/>
    <w:rsid w:val="009F037C"/>
    <w:rsid w:val="009F0FE4"/>
    <w:rsid w:val="009F482E"/>
    <w:rsid w:val="00A01638"/>
    <w:rsid w:val="00A01835"/>
    <w:rsid w:val="00A02958"/>
    <w:rsid w:val="00A03AB8"/>
    <w:rsid w:val="00A1353D"/>
    <w:rsid w:val="00A13690"/>
    <w:rsid w:val="00A14178"/>
    <w:rsid w:val="00A14A26"/>
    <w:rsid w:val="00A1663D"/>
    <w:rsid w:val="00A22B07"/>
    <w:rsid w:val="00A30003"/>
    <w:rsid w:val="00A40F41"/>
    <w:rsid w:val="00A415F3"/>
    <w:rsid w:val="00A438A0"/>
    <w:rsid w:val="00A44FFE"/>
    <w:rsid w:val="00A52576"/>
    <w:rsid w:val="00A536C8"/>
    <w:rsid w:val="00A54154"/>
    <w:rsid w:val="00A71745"/>
    <w:rsid w:val="00A757F8"/>
    <w:rsid w:val="00A834D1"/>
    <w:rsid w:val="00A87742"/>
    <w:rsid w:val="00A90B1D"/>
    <w:rsid w:val="00A9286C"/>
    <w:rsid w:val="00AA4619"/>
    <w:rsid w:val="00AA4ED1"/>
    <w:rsid w:val="00AA7579"/>
    <w:rsid w:val="00B06272"/>
    <w:rsid w:val="00B14879"/>
    <w:rsid w:val="00B277D2"/>
    <w:rsid w:val="00B301F8"/>
    <w:rsid w:val="00B36D64"/>
    <w:rsid w:val="00B55DF8"/>
    <w:rsid w:val="00B65E17"/>
    <w:rsid w:val="00B67E24"/>
    <w:rsid w:val="00B70594"/>
    <w:rsid w:val="00B72D0F"/>
    <w:rsid w:val="00B81EEE"/>
    <w:rsid w:val="00B84B3F"/>
    <w:rsid w:val="00B86BB7"/>
    <w:rsid w:val="00B91EC6"/>
    <w:rsid w:val="00B95399"/>
    <w:rsid w:val="00B97FE6"/>
    <w:rsid w:val="00BA19DD"/>
    <w:rsid w:val="00BA59EA"/>
    <w:rsid w:val="00BA5DC2"/>
    <w:rsid w:val="00BA7993"/>
    <w:rsid w:val="00BD7882"/>
    <w:rsid w:val="00BE0524"/>
    <w:rsid w:val="00BE0835"/>
    <w:rsid w:val="00BE3A83"/>
    <w:rsid w:val="00BE3C6B"/>
    <w:rsid w:val="00BF643A"/>
    <w:rsid w:val="00C10FEE"/>
    <w:rsid w:val="00C308D9"/>
    <w:rsid w:val="00C33BBC"/>
    <w:rsid w:val="00C47D8F"/>
    <w:rsid w:val="00C5179A"/>
    <w:rsid w:val="00C571F8"/>
    <w:rsid w:val="00C749E8"/>
    <w:rsid w:val="00CA254E"/>
    <w:rsid w:val="00CA4D67"/>
    <w:rsid w:val="00CA75AC"/>
    <w:rsid w:val="00CB4FBE"/>
    <w:rsid w:val="00CC25EA"/>
    <w:rsid w:val="00CC6D9D"/>
    <w:rsid w:val="00CC7F4C"/>
    <w:rsid w:val="00CE0DBF"/>
    <w:rsid w:val="00CF2093"/>
    <w:rsid w:val="00CF4045"/>
    <w:rsid w:val="00CF74FA"/>
    <w:rsid w:val="00D03C55"/>
    <w:rsid w:val="00D04F3B"/>
    <w:rsid w:val="00D04F7F"/>
    <w:rsid w:val="00D1221D"/>
    <w:rsid w:val="00D136E5"/>
    <w:rsid w:val="00D14B2F"/>
    <w:rsid w:val="00D1787E"/>
    <w:rsid w:val="00D21E4E"/>
    <w:rsid w:val="00D261F3"/>
    <w:rsid w:val="00D263F0"/>
    <w:rsid w:val="00D33278"/>
    <w:rsid w:val="00D36EDE"/>
    <w:rsid w:val="00D37EBF"/>
    <w:rsid w:val="00D428B4"/>
    <w:rsid w:val="00D500DD"/>
    <w:rsid w:val="00D62CBA"/>
    <w:rsid w:val="00D65BDA"/>
    <w:rsid w:val="00D66031"/>
    <w:rsid w:val="00D73AAB"/>
    <w:rsid w:val="00D73FDD"/>
    <w:rsid w:val="00D74C13"/>
    <w:rsid w:val="00D75D46"/>
    <w:rsid w:val="00D76D98"/>
    <w:rsid w:val="00D76F3E"/>
    <w:rsid w:val="00D904E5"/>
    <w:rsid w:val="00D9648D"/>
    <w:rsid w:val="00DA3813"/>
    <w:rsid w:val="00DA4722"/>
    <w:rsid w:val="00DC07E8"/>
    <w:rsid w:val="00DC27EA"/>
    <w:rsid w:val="00DC70C8"/>
    <w:rsid w:val="00DC7814"/>
    <w:rsid w:val="00DD3105"/>
    <w:rsid w:val="00DE0B46"/>
    <w:rsid w:val="00DE7A6A"/>
    <w:rsid w:val="00DF0987"/>
    <w:rsid w:val="00DF3CD0"/>
    <w:rsid w:val="00E02616"/>
    <w:rsid w:val="00E02E8B"/>
    <w:rsid w:val="00E03C00"/>
    <w:rsid w:val="00E057DE"/>
    <w:rsid w:val="00E14016"/>
    <w:rsid w:val="00E23774"/>
    <w:rsid w:val="00E4177F"/>
    <w:rsid w:val="00E42991"/>
    <w:rsid w:val="00E449C8"/>
    <w:rsid w:val="00E71AA5"/>
    <w:rsid w:val="00E72F1F"/>
    <w:rsid w:val="00E776C6"/>
    <w:rsid w:val="00E83EA7"/>
    <w:rsid w:val="00E851B7"/>
    <w:rsid w:val="00E96D19"/>
    <w:rsid w:val="00EB0AA1"/>
    <w:rsid w:val="00EB54F2"/>
    <w:rsid w:val="00EB771D"/>
    <w:rsid w:val="00EC54D2"/>
    <w:rsid w:val="00EC5645"/>
    <w:rsid w:val="00EC6B8E"/>
    <w:rsid w:val="00ED6A5A"/>
    <w:rsid w:val="00ED77D0"/>
    <w:rsid w:val="00EE0ADB"/>
    <w:rsid w:val="00F05AE8"/>
    <w:rsid w:val="00F12EFF"/>
    <w:rsid w:val="00F24FA8"/>
    <w:rsid w:val="00F31508"/>
    <w:rsid w:val="00F3406A"/>
    <w:rsid w:val="00F36270"/>
    <w:rsid w:val="00F4435A"/>
    <w:rsid w:val="00F45581"/>
    <w:rsid w:val="00F45B26"/>
    <w:rsid w:val="00F47606"/>
    <w:rsid w:val="00F60FAA"/>
    <w:rsid w:val="00F67741"/>
    <w:rsid w:val="00F72CD1"/>
    <w:rsid w:val="00F731B2"/>
    <w:rsid w:val="00F73ED0"/>
    <w:rsid w:val="00F95078"/>
    <w:rsid w:val="00FA040C"/>
    <w:rsid w:val="00FB18EA"/>
    <w:rsid w:val="00FB2830"/>
    <w:rsid w:val="00FB4F89"/>
    <w:rsid w:val="00FB6440"/>
    <w:rsid w:val="00FC6B28"/>
    <w:rsid w:val="00FD3ABE"/>
    <w:rsid w:val="00FD6EF3"/>
    <w:rsid w:val="00FD7987"/>
    <w:rsid w:val="00FE181B"/>
    <w:rsid w:val="00FE6DC3"/>
    <w:rsid w:val="00FF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524"/>
    <w:pPr>
      <w:spacing w:after="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57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110"/>
    <w:pPr>
      <w:keepNext/>
      <w:keepLines/>
      <w:spacing w:before="40"/>
      <w:outlineLvl w:val="1"/>
    </w:pPr>
    <w:rPr>
      <w:rFonts w:eastAsiaTheme="majorEastAsia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Char"/>
    <w:rsid w:val="006E70A7"/>
    <w:pPr>
      <w:tabs>
        <w:tab w:val="center" w:pos="4540"/>
        <w:tab w:val="right" w:pos="9080"/>
      </w:tabs>
      <w:spacing w:after="200"/>
    </w:pPr>
  </w:style>
  <w:style w:type="character" w:customStyle="1" w:styleId="MTDisplayEquationChar">
    <w:name w:val="MTDisplayEquation Char"/>
    <w:basedOn w:val="DefaultParagraphFont"/>
    <w:link w:val="MTDisplayEquation"/>
    <w:rsid w:val="006E70A7"/>
  </w:style>
  <w:style w:type="paragraph" w:styleId="FootnoteText">
    <w:name w:val="footnote text"/>
    <w:basedOn w:val="Normal"/>
    <w:link w:val="FootnoteTextChar"/>
    <w:uiPriority w:val="99"/>
    <w:semiHidden/>
    <w:unhideWhenUsed/>
    <w:rsid w:val="004A369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A3692"/>
    <w:rPr>
      <w:rFonts w:ascii="Times New Roman" w:eastAsia="Times New Roman" w:hAnsi="Times New Roman" w:cs="Times New Roman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4A3692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E057D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7D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7D2"/>
    <w:rPr>
      <w:rFonts w:ascii="Segoe UI" w:eastAsia="Times New Roman" w:hAnsi="Segoe UI" w:cs="Segoe UI"/>
      <w:sz w:val="18"/>
      <w:szCs w:val="18"/>
      <w:lang w:eastAsia="sv-SE"/>
    </w:rPr>
  </w:style>
  <w:style w:type="paragraph" w:styleId="Header">
    <w:name w:val="header"/>
    <w:basedOn w:val="Normal"/>
    <w:link w:val="HeaderChar"/>
    <w:uiPriority w:val="99"/>
    <w:unhideWhenUsed/>
    <w:rsid w:val="00B277D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77D2"/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Footer">
    <w:name w:val="footer"/>
    <w:basedOn w:val="Normal"/>
    <w:link w:val="FooterChar"/>
    <w:uiPriority w:val="99"/>
    <w:unhideWhenUsed/>
    <w:rsid w:val="00B277D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77D2"/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customStyle="1" w:styleId="Heading2Char">
    <w:name w:val="Heading 2 Char"/>
    <w:basedOn w:val="DefaultParagraphFont"/>
    <w:link w:val="Heading2"/>
    <w:uiPriority w:val="9"/>
    <w:rsid w:val="003C4110"/>
    <w:rPr>
      <w:rFonts w:ascii="Times New Roman" w:eastAsiaTheme="majorEastAsia" w:hAnsi="Times New Roman" w:cs="Times New Roman"/>
      <w:b/>
      <w:sz w:val="26"/>
      <w:szCs w:val="26"/>
      <w:lang w:val="en-US" w:eastAsia="sv-SE"/>
    </w:rPr>
  </w:style>
  <w:style w:type="character" w:customStyle="1" w:styleId="MTEquationSection">
    <w:name w:val="MTEquationSection"/>
    <w:basedOn w:val="DefaultParagraphFont"/>
    <w:rsid w:val="00D04F3B"/>
    <w:rPr>
      <w:rFonts w:ascii="Times New Roman" w:hAnsi="Times New Roman" w:cs="Times New Roman"/>
      <w:b/>
      <w:vanish/>
      <w:color w:val="FF0000"/>
    </w:rPr>
  </w:style>
  <w:style w:type="character" w:styleId="PlaceholderText">
    <w:name w:val="Placeholder Text"/>
    <w:basedOn w:val="DefaultParagraphFont"/>
    <w:uiPriority w:val="99"/>
    <w:semiHidden/>
    <w:rsid w:val="00112A97"/>
    <w:rPr>
      <w:color w:val="808080"/>
    </w:rPr>
  </w:style>
  <w:style w:type="paragraph" w:styleId="ListParagraph">
    <w:name w:val="List Paragraph"/>
    <w:basedOn w:val="Normal"/>
    <w:uiPriority w:val="34"/>
    <w:qFormat/>
    <w:rsid w:val="00040737"/>
    <w:pPr>
      <w:ind w:left="720"/>
      <w:contextualSpacing/>
    </w:pPr>
  </w:style>
  <w:style w:type="paragraph" w:styleId="NoSpacing">
    <w:name w:val="No Spacing"/>
    <w:uiPriority w:val="1"/>
    <w:qFormat/>
    <w:rsid w:val="008D50C0"/>
    <w:pPr>
      <w:spacing w:after="0" w:line="240" w:lineRule="auto"/>
    </w:pPr>
    <w:rPr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6A13C0"/>
    <w:pPr>
      <w:spacing w:line="240" w:lineRule="auto"/>
      <w:ind w:left="720" w:hanging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524"/>
    <w:pPr>
      <w:spacing w:after="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57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110"/>
    <w:pPr>
      <w:keepNext/>
      <w:keepLines/>
      <w:spacing w:before="40"/>
      <w:outlineLvl w:val="1"/>
    </w:pPr>
    <w:rPr>
      <w:rFonts w:eastAsiaTheme="majorEastAsia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Char"/>
    <w:rsid w:val="006E70A7"/>
    <w:pPr>
      <w:tabs>
        <w:tab w:val="center" w:pos="4540"/>
        <w:tab w:val="right" w:pos="9080"/>
      </w:tabs>
      <w:spacing w:after="200"/>
    </w:pPr>
  </w:style>
  <w:style w:type="character" w:customStyle="1" w:styleId="MTDisplayEquationChar">
    <w:name w:val="MTDisplayEquation Char"/>
    <w:basedOn w:val="DefaultParagraphFont"/>
    <w:link w:val="MTDisplayEquation"/>
    <w:rsid w:val="006E70A7"/>
  </w:style>
  <w:style w:type="paragraph" w:styleId="FootnoteText">
    <w:name w:val="footnote text"/>
    <w:basedOn w:val="Normal"/>
    <w:link w:val="FootnoteTextChar"/>
    <w:uiPriority w:val="99"/>
    <w:semiHidden/>
    <w:unhideWhenUsed/>
    <w:rsid w:val="004A369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A3692"/>
    <w:rPr>
      <w:rFonts w:ascii="Times New Roman" w:eastAsia="Times New Roman" w:hAnsi="Times New Roman" w:cs="Times New Roman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4A3692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E057D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7D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7D2"/>
    <w:rPr>
      <w:rFonts w:ascii="Segoe UI" w:eastAsia="Times New Roman" w:hAnsi="Segoe UI" w:cs="Segoe UI"/>
      <w:sz w:val="18"/>
      <w:szCs w:val="18"/>
      <w:lang w:eastAsia="sv-SE"/>
    </w:rPr>
  </w:style>
  <w:style w:type="paragraph" w:styleId="Header">
    <w:name w:val="header"/>
    <w:basedOn w:val="Normal"/>
    <w:link w:val="HeaderChar"/>
    <w:uiPriority w:val="99"/>
    <w:unhideWhenUsed/>
    <w:rsid w:val="00B277D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77D2"/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Footer">
    <w:name w:val="footer"/>
    <w:basedOn w:val="Normal"/>
    <w:link w:val="FooterChar"/>
    <w:uiPriority w:val="99"/>
    <w:unhideWhenUsed/>
    <w:rsid w:val="00B277D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77D2"/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customStyle="1" w:styleId="Heading2Char">
    <w:name w:val="Heading 2 Char"/>
    <w:basedOn w:val="DefaultParagraphFont"/>
    <w:link w:val="Heading2"/>
    <w:uiPriority w:val="9"/>
    <w:rsid w:val="003C4110"/>
    <w:rPr>
      <w:rFonts w:ascii="Times New Roman" w:eastAsiaTheme="majorEastAsia" w:hAnsi="Times New Roman" w:cs="Times New Roman"/>
      <w:b/>
      <w:sz w:val="26"/>
      <w:szCs w:val="26"/>
      <w:lang w:val="en-US" w:eastAsia="sv-SE"/>
    </w:rPr>
  </w:style>
  <w:style w:type="character" w:customStyle="1" w:styleId="MTEquationSection">
    <w:name w:val="MTEquationSection"/>
    <w:basedOn w:val="DefaultParagraphFont"/>
    <w:rsid w:val="00D04F3B"/>
    <w:rPr>
      <w:rFonts w:ascii="Times New Roman" w:hAnsi="Times New Roman" w:cs="Times New Roman"/>
      <w:b/>
      <w:vanish/>
      <w:color w:val="FF0000"/>
    </w:rPr>
  </w:style>
  <w:style w:type="character" w:styleId="PlaceholderText">
    <w:name w:val="Placeholder Text"/>
    <w:basedOn w:val="DefaultParagraphFont"/>
    <w:uiPriority w:val="99"/>
    <w:semiHidden/>
    <w:rsid w:val="00112A97"/>
    <w:rPr>
      <w:color w:val="808080"/>
    </w:rPr>
  </w:style>
  <w:style w:type="paragraph" w:styleId="ListParagraph">
    <w:name w:val="List Paragraph"/>
    <w:basedOn w:val="Normal"/>
    <w:uiPriority w:val="34"/>
    <w:qFormat/>
    <w:rsid w:val="00040737"/>
    <w:pPr>
      <w:ind w:left="720"/>
      <w:contextualSpacing/>
    </w:pPr>
  </w:style>
  <w:style w:type="paragraph" w:styleId="NoSpacing">
    <w:name w:val="No Spacing"/>
    <w:uiPriority w:val="1"/>
    <w:qFormat/>
    <w:rsid w:val="008D50C0"/>
    <w:pPr>
      <w:spacing w:after="0" w:line="240" w:lineRule="auto"/>
    </w:pPr>
    <w:rPr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6A13C0"/>
    <w:pPr>
      <w:spacing w:line="24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5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1.bin"/><Relationship Id="rId55" Type="http://schemas.openxmlformats.org/officeDocument/2006/relationships/footer" Target="footer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oleObject" Target="embeddings/oleObject23.bin"/><Relationship Id="rId5" Type="http://schemas.openxmlformats.org/officeDocument/2006/relationships/settings" Target="settings.xml"/><Relationship Id="rId19" Type="http://schemas.openxmlformats.org/officeDocument/2006/relationships/image" Target="media/image6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oleObject" Target="embeddings/oleObject22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4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theme" Target="theme/theme1.xml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image" Target="media/image2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E8835-75B5-4AB3-B412-9E6FCE9E0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6</Pages>
  <Words>1918</Words>
  <Characters>10935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PerAhl</dc:creator>
  <cp:lastModifiedBy>Peter Sjögårde</cp:lastModifiedBy>
  <cp:revision>12</cp:revision>
  <cp:lastPrinted>2014-12-19T14:47:00Z</cp:lastPrinted>
  <dcterms:created xsi:type="dcterms:W3CDTF">2015-02-11T09:52:00Z</dcterms:created>
  <dcterms:modified xsi:type="dcterms:W3CDTF">2015-02-17T10:08:00Z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  <property fmtid="{D5CDD505-2E9C-101B-9397-08002B2CF9AE}" pid="5" name="ZOTERO_PREF_1">
    <vt:lpwstr>&lt;data data-version="3" zotero-version="4.0.25.2"&gt;&lt;session id="lpAaENHw"/&gt;&lt;style id="http://www.zotero.org/styles/apa" hasBibliography="1" bibliographyStyleHasBeenSet="1"/&gt;&lt;prefs&gt;&lt;pref name="fieldType" value="Field"/&gt;&lt;pref name="storeReferences" value="tru</vt:lpwstr>
  </property>
  <property fmtid="{D5CDD505-2E9C-101B-9397-08002B2CF9AE}" pid="6" name="ZOTERO_PREF_2">
    <vt:lpwstr>e"/&gt;&lt;pref name="automaticJournalAbbreviations" value="true"/&gt;&lt;pref name="noteType" value="0"/&gt;&lt;/prefs&gt;&lt;/data&gt;</vt:lpwstr>
  </property>
</Properties>
</file>