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977FCEA">
      <w:pPr>
        <w:jc w:val="center"/>
        <w:rPr>
          <w:rFonts w:hint="default"/>
          <w:b/>
          <w:bCs/>
          <w:sz w:val="32"/>
          <w:szCs w:val="32"/>
          <w:lang w:val="en-US" w:eastAsia="zh-CN"/>
        </w:rPr>
      </w:pPr>
      <w:bookmarkStart w:id="0" w:name="_GoBack"/>
      <w:bookmarkEnd w:id="0"/>
      <w:r>
        <w:rPr>
          <w:rFonts w:hint="eastAsia"/>
          <w:b/>
          <w:bCs/>
          <w:sz w:val="32"/>
          <w:szCs w:val="32"/>
          <w:lang w:val="en-US" w:eastAsia="zh-CN"/>
        </w:rPr>
        <w:t>一种遮挡透视实现方案</w:t>
      </w:r>
    </w:p>
    <w:p w14:paraId="096D627B">
      <w:pPr>
        <w:jc w:val="both"/>
        <w:rPr>
          <w:rFonts w:hint="eastAsia"/>
          <w:b/>
          <w:bCs/>
          <w:sz w:val="32"/>
          <w:szCs w:val="32"/>
          <w:lang w:val="en-US" w:eastAsia="zh-CN"/>
        </w:rPr>
      </w:pPr>
      <w:r>
        <w:rPr>
          <w:rFonts w:hint="eastAsia"/>
          <w:b/>
          <w:bCs/>
          <w:sz w:val="32"/>
          <w:szCs w:val="32"/>
          <w:lang w:val="en-US" w:eastAsia="zh-CN"/>
        </w:rPr>
        <w:t>最终结果：</w:t>
      </w:r>
    </w:p>
    <w:p w14:paraId="7E6BF4E3">
      <w:pPr>
        <w:jc w:val="both"/>
      </w:pPr>
      <w:r>
        <w:drawing>
          <wp:inline distT="0" distB="0" distL="114300" distR="114300">
            <wp:extent cx="5268595" cy="3303905"/>
            <wp:effectExtent l="0" t="0" r="4445"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8595" cy="3303905"/>
                    </a:xfrm>
                    <a:prstGeom prst="rect">
                      <a:avLst/>
                    </a:prstGeom>
                    <a:noFill/>
                    <a:ln>
                      <a:noFill/>
                    </a:ln>
                  </pic:spPr>
                </pic:pic>
              </a:graphicData>
            </a:graphic>
          </wp:inline>
        </w:drawing>
      </w:r>
    </w:p>
    <w:p w14:paraId="5187EA75">
      <w:pPr>
        <w:jc w:val="both"/>
        <w:rPr>
          <w:rFonts w:hint="eastAsia"/>
          <w:lang w:val="en-US" w:eastAsia="zh-CN"/>
        </w:rPr>
      </w:pPr>
      <w:r>
        <w:rPr>
          <w:rFonts w:hint="eastAsia"/>
          <w:lang w:val="en-US" w:eastAsia="zh-CN"/>
        </w:rPr>
        <w:t>步骤：</w:t>
      </w:r>
    </w:p>
    <w:p w14:paraId="1D2D6D16">
      <w:pPr>
        <w:numPr>
          <w:ilvl w:val="0"/>
          <w:numId w:val="1"/>
        </w:numPr>
        <w:jc w:val="both"/>
        <w:rPr>
          <w:rFonts w:hint="eastAsia"/>
          <w:sz w:val="28"/>
          <w:szCs w:val="28"/>
          <w:lang w:val="en-US" w:eastAsia="zh-CN"/>
        </w:rPr>
      </w:pPr>
      <w:r>
        <w:rPr>
          <w:rFonts w:hint="eastAsia"/>
          <w:sz w:val="28"/>
          <w:szCs w:val="28"/>
          <w:lang w:val="en-US" w:eastAsia="zh-CN"/>
        </w:rPr>
        <w:t>使用自定义的RenderFeature使用指定材质（RenderFeatureUsed）单独渲染有遮挡透视功能的物体到一个单独的RT上；</w:t>
      </w:r>
    </w:p>
    <w:p w14:paraId="7555BB56">
      <w:pPr>
        <w:numPr>
          <w:numId w:val="0"/>
        </w:numPr>
        <w:jc w:val="both"/>
      </w:pPr>
      <w:r>
        <w:drawing>
          <wp:inline distT="0" distB="0" distL="114300" distR="114300">
            <wp:extent cx="3909060" cy="2461260"/>
            <wp:effectExtent l="0" t="0" r="762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3909060" cy="2461260"/>
                    </a:xfrm>
                    <a:prstGeom prst="rect">
                      <a:avLst/>
                    </a:prstGeom>
                    <a:noFill/>
                    <a:ln>
                      <a:noFill/>
                    </a:ln>
                  </pic:spPr>
                </pic:pic>
              </a:graphicData>
            </a:graphic>
          </wp:inline>
        </w:drawing>
      </w:r>
    </w:p>
    <w:p w14:paraId="348EE858">
      <w:pPr>
        <w:numPr>
          <w:numId w:val="0"/>
        </w:numPr>
        <w:jc w:val="both"/>
        <w:rPr>
          <w:rFonts w:hint="default"/>
          <w:b/>
          <w:bCs/>
          <w:sz w:val="28"/>
          <w:szCs w:val="28"/>
          <w:lang w:val="en-US" w:eastAsia="zh-CN"/>
        </w:rPr>
      </w:pPr>
      <w:r>
        <w:rPr>
          <w:rFonts w:hint="eastAsia"/>
          <w:b/>
          <w:bCs/>
          <w:sz w:val="28"/>
          <w:szCs w:val="28"/>
          <w:lang w:val="en-US" w:eastAsia="zh-CN"/>
        </w:rPr>
        <w:t>得到绘制有想要结果的的指定RT:CustomRT1</w:t>
      </w:r>
    </w:p>
    <w:p w14:paraId="79725C9E">
      <w:pPr>
        <w:numPr>
          <w:numId w:val="0"/>
        </w:numPr>
        <w:jc w:val="both"/>
      </w:pPr>
      <w:r>
        <w:drawing>
          <wp:inline distT="0" distB="0" distL="114300" distR="114300">
            <wp:extent cx="5260975" cy="3176270"/>
            <wp:effectExtent l="0" t="0" r="12065"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5260975" cy="3176270"/>
                    </a:xfrm>
                    <a:prstGeom prst="rect">
                      <a:avLst/>
                    </a:prstGeom>
                    <a:noFill/>
                    <a:ln>
                      <a:noFill/>
                    </a:ln>
                  </pic:spPr>
                </pic:pic>
              </a:graphicData>
            </a:graphic>
          </wp:inline>
        </w:drawing>
      </w:r>
    </w:p>
    <w:p w14:paraId="0ECC9D08">
      <w:pPr>
        <w:numPr>
          <w:numId w:val="0"/>
        </w:numPr>
        <w:jc w:val="both"/>
        <w:rPr>
          <w:rFonts w:hint="eastAsia"/>
          <w:b/>
          <w:bCs/>
          <w:sz w:val="28"/>
          <w:szCs w:val="28"/>
          <w:lang w:val="en-US" w:eastAsia="zh-CN"/>
        </w:rPr>
      </w:pPr>
      <w:r>
        <w:rPr>
          <w:rFonts w:hint="eastAsia"/>
          <w:b/>
          <w:bCs/>
          <w:sz w:val="28"/>
          <w:szCs w:val="28"/>
          <w:lang w:val="en-US" w:eastAsia="zh-CN"/>
        </w:rPr>
        <w:t>2：使用带有指定蒙版值的材质绘制墙壁等可能的遮挡物作为绘制的画布，可以保证只会在遮挡物上显示而不会再自己身上也透视自己：</w:t>
      </w:r>
    </w:p>
    <w:p w14:paraId="0F97EFEF">
      <w:pPr>
        <w:numPr>
          <w:numId w:val="0"/>
        </w:numPr>
        <w:jc w:val="both"/>
        <w:rPr>
          <w:rFonts w:hint="default"/>
          <w:b/>
          <w:bCs/>
          <w:sz w:val="28"/>
          <w:szCs w:val="28"/>
          <w:lang w:val="en-US" w:eastAsia="zh-CN"/>
        </w:rPr>
      </w:pPr>
      <w:r>
        <w:drawing>
          <wp:inline distT="0" distB="0" distL="114300" distR="114300">
            <wp:extent cx="5267325" cy="1590040"/>
            <wp:effectExtent l="0" t="0" r="5715" b="1016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7"/>
                    <a:stretch>
                      <a:fillRect/>
                    </a:stretch>
                  </pic:blipFill>
                  <pic:spPr>
                    <a:xfrm>
                      <a:off x="0" y="0"/>
                      <a:ext cx="5267325" cy="1590040"/>
                    </a:xfrm>
                    <a:prstGeom prst="rect">
                      <a:avLst/>
                    </a:prstGeom>
                    <a:noFill/>
                    <a:ln>
                      <a:noFill/>
                    </a:ln>
                  </pic:spPr>
                </pic:pic>
              </a:graphicData>
            </a:graphic>
          </wp:inline>
        </w:drawing>
      </w:r>
    </w:p>
    <w:p w14:paraId="0C5280C3">
      <w:pPr>
        <w:numPr>
          <w:numId w:val="0"/>
        </w:numPr>
        <w:jc w:val="both"/>
      </w:pPr>
      <w:r>
        <w:drawing>
          <wp:inline distT="0" distB="0" distL="114300" distR="114300">
            <wp:extent cx="5260975" cy="3176270"/>
            <wp:effectExtent l="0" t="0" r="12065"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60975" cy="3176270"/>
                    </a:xfrm>
                    <a:prstGeom prst="rect">
                      <a:avLst/>
                    </a:prstGeom>
                    <a:noFill/>
                    <a:ln>
                      <a:noFill/>
                    </a:ln>
                  </pic:spPr>
                </pic:pic>
              </a:graphicData>
            </a:graphic>
          </wp:inline>
        </w:drawing>
      </w:r>
      <w:r>
        <w:drawing>
          <wp:inline distT="0" distB="0" distL="114300" distR="114300">
            <wp:extent cx="3322320" cy="135636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3322320" cy="1356360"/>
                    </a:xfrm>
                    <a:prstGeom prst="rect">
                      <a:avLst/>
                    </a:prstGeom>
                    <a:noFill/>
                    <a:ln>
                      <a:noFill/>
                    </a:ln>
                  </pic:spPr>
                </pic:pic>
              </a:graphicData>
            </a:graphic>
          </wp:inline>
        </w:drawing>
      </w:r>
    </w:p>
    <w:p w14:paraId="453ACA47">
      <w:pPr>
        <w:numPr>
          <w:numId w:val="0"/>
        </w:numPr>
        <w:jc w:val="both"/>
        <w:rPr>
          <w:rFonts w:hint="default"/>
          <w:b/>
          <w:bCs/>
          <w:sz w:val="28"/>
          <w:szCs w:val="28"/>
          <w:lang w:val="en-US" w:eastAsia="zh-CN"/>
        </w:rPr>
      </w:pPr>
      <w:r>
        <w:rPr>
          <w:rFonts w:hint="eastAsia"/>
          <w:b/>
          <w:bCs/>
          <w:sz w:val="28"/>
          <w:szCs w:val="28"/>
          <w:lang w:val="en-US" w:eastAsia="zh-CN"/>
        </w:rPr>
        <w:t>3：使用ZTest模式为Greater模式的材质只在有指定蒙版值的位置绘制蒙版（此步骤只用来展示，实际上会与采样先前得到的结果一起运算直接得到最终结果）</w:t>
      </w:r>
    </w:p>
    <w:p w14:paraId="158265FC">
      <w:pPr>
        <w:numPr>
          <w:numId w:val="0"/>
        </w:numPr>
        <w:jc w:val="both"/>
      </w:pPr>
      <w:r>
        <w:drawing>
          <wp:inline distT="0" distB="0" distL="114300" distR="114300">
            <wp:extent cx="5260975" cy="3354705"/>
            <wp:effectExtent l="0" t="0" r="12065" b="133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60975" cy="3354705"/>
                    </a:xfrm>
                    <a:prstGeom prst="rect">
                      <a:avLst/>
                    </a:prstGeom>
                    <a:noFill/>
                    <a:ln>
                      <a:noFill/>
                    </a:ln>
                  </pic:spPr>
                </pic:pic>
              </a:graphicData>
            </a:graphic>
          </wp:inline>
        </w:drawing>
      </w:r>
    </w:p>
    <w:p w14:paraId="7B0CB062">
      <w:pPr>
        <w:numPr>
          <w:numId w:val="0"/>
        </w:numPr>
        <w:jc w:val="both"/>
        <w:rPr>
          <w:rFonts w:hint="default"/>
          <w:b/>
          <w:bCs/>
          <w:sz w:val="28"/>
          <w:szCs w:val="28"/>
          <w:lang w:val="en-US" w:eastAsia="zh-CN"/>
        </w:rPr>
      </w:pPr>
      <w:r>
        <w:rPr>
          <w:rFonts w:hint="eastAsia"/>
          <w:b/>
          <w:bCs/>
          <w:sz w:val="28"/>
          <w:szCs w:val="28"/>
          <w:lang w:val="en-US" w:eastAsia="zh-CN"/>
        </w:rPr>
        <w:t>4：最终得到的结果，就是在材质透视的Mask部分采样先前的到的RT,其中的网点半透明模式则是在Mask上采用了Dither的AlphaClip替代了半</w:t>
      </w:r>
    </w:p>
    <w:p w14:paraId="71CFB979">
      <w:pPr>
        <w:numPr>
          <w:numId w:val="0"/>
        </w:numPr>
        <w:jc w:val="both"/>
        <w:rPr>
          <w:rFonts w:hint="eastAsia"/>
          <w:lang w:val="en-US" w:eastAsia="zh-CN"/>
        </w:rPr>
      </w:pPr>
    </w:p>
    <w:p w14:paraId="133EE9D9">
      <w:pPr>
        <w:numPr>
          <w:numId w:val="0"/>
        </w:numPr>
        <w:jc w:val="both"/>
      </w:pPr>
      <w:r>
        <w:drawing>
          <wp:inline distT="0" distB="0" distL="114300" distR="114300">
            <wp:extent cx="5260975" cy="3486785"/>
            <wp:effectExtent l="0" t="0" r="12065"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60975" cy="3486785"/>
                    </a:xfrm>
                    <a:prstGeom prst="rect">
                      <a:avLst/>
                    </a:prstGeom>
                    <a:noFill/>
                    <a:ln>
                      <a:noFill/>
                    </a:ln>
                  </pic:spPr>
                </pic:pic>
              </a:graphicData>
            </a:graphic>
          </wp:inline>
        </w:drawing>
      </w:r>
    </w:p>
    <w:p w14:paraId="6F58A00C">
      <w:pPr>
        <w:numPr>
          <w:numId w:val="0"/>
        </w:numPr>
        <w:jc w:val="both"/>
        <w:rPr>
          <w:rFonts w:hint="default" w:eastAsiaTheme="minorEastAsia"/>
          <w:b/>
          <w:bCs/>
          <w:sz w:val="28"/>
          <w:szCs w:val="28"/>
          <w:lang w:val="en-US" w:eastAsia="zh-CN"/>
        </w:rPr>
      </w:pPr>
      <w:r>
        <w:rPr>
          <w:rFonts w:hint="eastAsia"/>
          <w:b/>
          <w:bCs/>
          <w:sz w:val="28"/>
          <w:szCs w:val="28"/>
          <w:lang w:val="en-US" w:eastAsia="zh-CN"/>
        </w:rPr>
        <w:t>红框部分则是透视部分采样的逻辑，只在透视部分生效，正常部分则还是通常的材质：</w:t>
      </w:r>
    </w:p>
    <w:p w14:paraId="63F4B291">
      <w:pPr>
        <w:numPr>
          <w:numId w:val="0"/>
        </w:numPr>
        <w:jc w:val="both"/>
      </w:pPr>
      <w:r>
        <w:drawing>
          <wp:inline distT="0" distB="0" distL="114300" distR="114300">
            <wp:extent cx="5271135" cy="2962910"/>
            <wp:effectExtent l="0" t="0" r="1905"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271135" cy="2962910"/>
                    </a:xfrm>
                    <a:prstGeom prst="rect">
                      <a:avLst/>
                    </a:prstGeom>
                    <a:noFill/>
                    <a:ln>
                      <a:noFill/>
                    </a:ln>
                  </pic:spPr>
                </pic:pic>
              </a:graphicData>
            </a:graphic>
          </wp:inline>
        </w:drawing>
      </w:r>
      <w:r>
        <w:drawing>
          <wp:inline distT="0" distB="0" distL="114300" distR="114300">
            <wp:extent cx="5266055" cy="1536700"/>
            <wp:effectExtent l="0" t="0" r="6985"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5266055" cy="1536700"/>
                    </a:xfrm>
                    <a:prstGeom prst="rect">
                      <a:avLst/>
                    </a:prstGeom>
                    <a:noFill/>
                    <a:ln>
                      <a:noFill/>
                    </a:ln>
                  </pic:spPr>
                </pic:pic>
              </a:graphicData>
            </a:graphic>
          </wp:inline>
        </w:drawing>
      </w:r>
    </w:p>
    <w:p w14:paraId="31400416">
      <w:pPr>
        <w:numPr>
          <w:numId w:val="0"/>
        </w:numPr>
        <w:jc w:val="both"/>
      </w:pPr>
    </w:p>
    <w:p w14:paraId="6CA0D4B4">
      <w:pPr>
        <w:numPr>
          <w:numId w:val="0"/>
        </w:numPr>
        <w:jc w:val="both"/>
        <w:rPr>
          <w:rFonts w:hint="eastAsia"/>
          <w:lang w:val="en-US" w:eastAsia="zh-CN"/>
        </w:rPr>
      </w:pPr>
      <w:r>
        <w:rPr>
          <w:rFonts w:hint="eastAsia"/>
          <w:b/>
          <w:bCs/>
          <w:lang w:val="en-US" w:eastAsia="zh-CN"/>
        </w:rPr>
        <w:t>优点：</w:t>
      </w:r>
      <w:r>
        <w:rPr>
          <w:rFonts w:hint="eastAsia"/>
          <w:lang w:val="en-US" w:eastAsia="zh-CN"/>
        </w:rPr>
        <w:t>通过一个RT让被透视的部分走自己的渲染逻辑，这不会让其他正常流程的渲染受到影响，所以被透视部分使用何种渲染方式几乎不受限制，唯一需要注意的就是要在被采样前完成渲染得到RT;</w:t>
      </w:r>
    </w:p>
    <w:p w14:paraId="21FF0076">
      <w:pPr>
        <w:numPr>
          <w:numId w:val="0"/>
        </w:numPr>
        <w:jc w:val="both"/>
        <w:rPr>
          <w:rFonts w:hint="default"/>
          <w:lang w:val="en-US" w:eastAsia="zh-CN"/>
        </w:rPr>
      </w:pPr>
      <w:r>
        <w:rPr>
          <w:rFonts w:hint="eastAsia"/>
          <w:b/>
          <w:bCs/>
          <w:lang w:val="en-US" w:eastAsia="zh-CN"/>
        </w:rPr>
        <w:t>缺点：</w:t>
      </w:r>
      <w:r>
        <w:rPr>
          <w:rFonts w:hint="eastAsia"/>
          <w:lang w:val="en-US" w:eastAsia="zh-CN"/>
        </w:rPr>
        <w:t>渲染RT、被透视材质采样显示都需要走更多绘制流程，都至少多一次DrawCall,还需要有一张额外的RT提供独立的绘制画布</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488DB91"/>
    <w:multiLevelType w:val="singleLevel"/>
    <w:tmpl w:val="2488DB91"/>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2UzMjFlZmNiZTIzNzZlMzgzNWEzOWM0MDJiZjhmNmIifQ=="/>
  </w:docVars>
  <w:rsids>
    <w:rsidRoot w:val="00000000"/>
    <w:rsid w:val="3B50776F"/>
    <w:rsid w:val="3D127B25"/>
    <w:rsid w:val="799157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Pages>
  <Words>0</Words>
  <Characters>0</Characters>
  <Lines>0</Lines>
  <Paragraphs>0</Paragraphs>
  <TotalTime>37</TotalTime>
  <ScaleCrop>false</ScaleCrop>
  <LinksUpToDate>false</LinksUpToDate>
  <CharactersWithSpaces>0</CharactersWithSpaces>
  <Application>WPS Office_12.1.0.17827_F1E327BC-269C-435d-A152-05C5408002CA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2024-08-08T13:40:39Z</dcterms:created>
  <dc:creator>10516</dc:creator>
  <cp:lastModifiedBy>10516</cp:lastModifiedBy>
  <dcterms:modified xsi:type="dcterms:W3CDTF">2024-08-08T14:31:23Z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2052-12.1.0.17827</vt:lpwstr>
  </property>
  <property fmtid="{D5CDD505-2E9C-101B-9397-08002B2CF9AE}" pid="3" name="ICV">
    <vt:lpwstr>0575807133CB4370A6205D3D5914FA34_12</vt:lpwstr>
  </property>
</Properties>
</file>