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60"/>
      </w:pPr>
    </w:p>
    <w:p>
      <w:pPr>
        <w:spacing w:after="40"/>
        <w:jc w:val="center"/>
      </w:pPr>
      <w:r>
        <w:rPr>
          <w:rFonts w:ascii="Arial" w:cs="Arial" w:eastAsia="Arial" w:hAnsi="Arial"/>
          <w:b/>
          <w:bCs/>
          <w:color w:val="1A1A2E"/>
          <w:sz w:val="56"/>
          <w:szCs w:val="56"/>
        </w:rPr>
        <w:t xml:space="preserve">SAINTE TECHNOLOGIES, INC.</w:t>
      </w:r>
    </w:p>
    <w:p>
      <w:pPr>
        <w:spacing w:after="50"/>
        <w:jc w:val="center"/>
      </w:pPr>
      <w:r>
        <w:rPr>
          <w:rFonts w:ascii="Arial" w:cs="Arial" w:eastAsia="Arial" w:hAnsi="Arial"/>
          <w:color w:val="E94560"/>
          <w:sz w:val="36"/>
          <w:szCs w:val="36"/>
        </w:rPr>
        <w:t xml:space="preserve">The Founding 12 + Advisors</w:t>
      </w:r>
    </w:p>
    <w:p>
      <w:pPr>
        <w:pBdr>
          <w:top w:val="single" w:color="E94560" w:sz="3" w:space="6"/>
          <w:bottom w:val="single" w:color="E94560" w:sz="3" w:space="6"/>
        </w:pBdr>
        <w:spacing w:after="50" w:before="50"/>
        <w:jc w:val="center"/>
      </w:pPr>
      <w:r>
        <w:rPr>
          <w:rFonts w:ascii="Arial" w:cs="Arial" w:eastAsia="Arial" w:hAnsi="Arial"/>
          <w:b/>
          <w:bCs/>
          <w:color w:val="E94560"/>
          <w:sz w:val="19"/>
          <w:szCs w:val="19"/>
        </w:rPr>
        <w:t xml:space="preserve">CONFIDENTIAL — PRE-SEED / SEED FOUNDING TEAM</w:t>
      </w:r>
    </w:p>
    <w:p>
      <w:pPr>
        <w:spacing w:after="60" w:before="60"/>
      </w:pPr>
    </w:p>
    <w:p>
      <w:pPr>
        <w:jc w:val="center"/>
      </w:pPr>
      <w:r>
        <w:rPr>
          <w:rFonts w:ascii="Arial" w:cs="Arial" w:eastAsia="Arial" w:hAnsi="Arial"/>
          <w:i/>
          <w:iCs/>
          <w:color w:val="666666"/>
          <w:sz w:val="19"/>
          <w:szCs w:val="19"/>
        </w:rPr>
        <w:t xml:space="preserve">12 full-time hires + 6 paid advisors. Every credential. Every deliverable.</w:t>
      </w:r>
    </w:p>
    <w:p>
      <w:pPr>
        <w:spacing w:after="40" w:before="40"/>
      </w:pPr>
    </w:p>
    <w:p>
      <w:pPr>
        <w:jc w:val="center"/>
      </w:pPr>
      <w:r>
        <w:rPr>
          <w:rFonts w:ascii="Arial" w:cs="Arial" w:eastAsia="Arial" w:hAnsi="Arial"/>
          <w:i/>
          <w:iCs/>
          <w:color w:val="666666"/>
          <w:sz w:val="19"/>
          <w:szCs w:val="19"/>
        </w:rPr>
        <w:t xml:space="preserve">The team that builds the product, proves it works, closes the first enterprise pilot,</w:t>
      </w:r>
    </w:p>
    <w:p>
      <w:pPr>
        <w:jc w:val="center"/>
      </w:pPr>
      <w:r>
        <w:rPr>
          <w:rFonts w:ascii="Arial" w:cs="Arial" w:eastAsia="Arial" w:hAnsi="Arial"/>
          <w:i/>
          <w:iCs/>
          <w:color w:val="666666"/>
          <w:sz w:val="19"/>
          <w:szCs w:val="19"/>
        </w:rPr>
        <w:t xml:space="preserve">makes the culture real, and raises the seed round.</w:t>
      </w:r>
    </w:p>
    <w:p>
      <w:pPr>
        <w:spacing w:after="160" w:before="160"/>
      </w:pPr>
    </w:p>
    <w:p>
      <w:pPr>
        <w:jc w:val="center"/>
      </w:pPr>
      <w:r>
        <w:rPr>
          <w:rFonts w:ascii="Arial" w:cs="Arial" w:eastAsia="Arial" w:hAnsi="Arial"/>
          <w:color w:val="999999"/>
          <w:sz w:val="19"/>
          <w:szCs w:val="19"/>
        </w:rPr>
        <w:t xml:space="preserve">March 2026</w:t>
      </w:r>
    </w:p>
    <w:p>
      <w:r>
        <w:br w:type="page"/>
      </w:r>
    </w:p>
    <w:p>
      <w:pPr>
        <w:spacing w:after="100"/>
      </w:pPr>
      <w:r>
        <w:rPr>
          <w:rFonts w:ascii="Arial" w:cs="Arial" w:eastAsia="Arial" w:hAnsi="Arial"/>
          <w:b/>
          <w:bCs/>
          <w:color w:val="1A1A2E"/>
          <w:sz w:val="28"/>
          <w:szCs w:val="28"/>
        </w:rPr>
        <w:t xml:space="preserve">What These 12 People Must Do</w:t>
      </w:r>
    </w:p>
    <w:p>
      <w:pPr>
        <w:spacing w:after="60" w:line="270"/>
      </w:pPr>
      <w:r>
        <w:rPr>
          <w:rFonts w:ascii="Arial" w:cs="Arial" w:eastAsia="Arial" w:hAnsi="Arial"/>
          <w:color w:val="444444"/>
          <w:sz w:val="20"/>
          <w:szCs w:val="20"/>
        </w:rPr>
        <w:t xml:space="preserve">Build a working product. Prove it works with real users. Get the first enterprise LOI or pilot. Make the culture feel real enough that people want in. Keep the lights on. Raise a seed round. Everyone has 2–3 jobs. Nobody is a single-function luxury hire.</w:t>
      </w:r>
    </w:p>
    <w:p>
      <w:pPr>
        <w:spacing w:after="20" w:before="20"/>
      </w:pPr>
    </w:p>
    <w:p>
      <w:pPr>
        <w:spacing w:after="40" w:line="270"/>
      </w:pPr>
      <w:r>
        <w:rPr>
          <w:rFonts w:ascii="Arial" w:cs="Arial" w:eastAsia="Arial" w:hAnsi="Arial"/>
          <w:b/>
          <w:bCs/>
          <w:color w:val="1A1A2E"/>
          <w:sz w:val="22"/>
          <w:szCs w:val="22"/>
        </w:rPr>
        <w:t xml:space="preserve">The Founding 12:</w:t>
      </w:r>
    </w:p>
    <w:p>
      <w:pPr>
        <w:spacing w:after="20"/>
        <w:ind w:left="300"/>
      </w:pPr>
      <w:r>
        <w:rPr>
          <w:rFonts w:ascii="Arial" w:cs="Arial" w:eastAsia="Arial" w:hAnsi="Arial"/>
          <w:b/>
          <w:bCs/>
          <w:color w:val="E94560"/>
          <w:sz w:val="19"/>
          <w:szCs w:val="19"/>
        </w:rPr>
        <w:t xml:space="preserve">1. </w:t>
      </w:r>
      <w:r>
        <w:rPr>
          <w:rFonts w:ascii="Arial" w:cs="Arial" w:eastAsia="Arial" w:hAnsi="Arial"/>
          <w:color w:val="333333"/>
          <w:sz w:val="19"/>
          <w:szCs w:val="19"/>
        </w:rPr>
        <w:t xml:space="preserve">CEO / Founder — Katy Kelly</w:t>
      </w:r>
    </w:p>
    <w:p>
      <w:pPr>
        <w:spacing w:after="20"/>
        <w:ind w:left="300"/>
      </w:pPr>
      <w:r>
        <w:rPr>
          <w:rFonts w:ascii="Arial" w:cs="Arial" w:eastAsia="Arial" w:hAnsi="Arial"/>
          <w:b/>
          <w:bCs/>
          <w:color w:val="E94560"/>
          <w:sz w:val="19"/>
          <w:szCs w:val="19"/>
        </w:rPr>
        <w:t xml:space="preserve">2. </w:t>
      </w:r>
      <w:r>
        <w:rPr>
          <w:rFonts w:ascii="Arial" w:cs="Arial" w:eastAsia="Arial" w:hAnsi="Arial"/>
          <w:color w:val="333333"/>
          <w:sz w:val="19"/>
          <w:szCs w:val="19"/>
        </w:rPr>
        <w:t xml:space="preserve">Executive Assistant to CEO</w:t>
      </w:r>
    </w:p>
    <w:p>
      <w:pPr>
        <w:spacing w:after="20"/>
        <w:ind w:left="300"/>
      </w:pPr>
      <w:r>
        <w:rPr>
          <w:rFonts w:ascii="Arial" w:cs="Arial" w:eastAsia="Arial" w:hAnsi="Arial"/>
          <w:b/>
          <w:bCs/>
          <w:color w:val="E94560"/>
          <w:sz w:val="19"/>
          <w:szCs w:val="19"/>
        </w:rPr>
        <w:t xml:space="preserve">3. </w:t>
      </w:r>
      <w:r>
        <w:rPr>
          <w:rFonts w:ascii="Arial" w:cs="Arial" w:eastAsia="Arial" w:hAnsi="Arial"/>
          <w:color w:val="333333"/>
          <w:sz w:val="19"/>
          <w:szCs w:val="19"/>
        </w:rPr>
        <w:t xml:space="preserve">CTO / Technical Co-Founder</w:t>
      </w:r>
    </w:p>
    <w:p>
      <w:pPr>
        <w:spacing w:after="20"/>
        <w:ind w:left="300"/>
      </w:pPr>
      <w:r>
        <w:rPr>
          <w:rFonts w:ascii="Arial" w:cs="Arial" w:eastAsia="Arial" w:hAnsi="Arial"/>
          <w:b/>
          <w:bCs/>
          <w:color w:val="E94560"/>
          <w:sz w:val="19"/>
          <w:szCs w:val="19"/>
        </w:rPr>
        <w:t xml:space="preserve">4. </w:t>
      </w:r>
      <w:r>
        <w:rPr>
          <w:rFonts w:ascii="Arial" w:cs="Arial" w:eastAsia="Arial" w:hAnsi="Arial"/>
          <w:color w:val="333333"/>
          <w:sz w:val="19"/>
          <w:szCs w:val="19"/>
        </w:rPr>
        <w:t xml:space="preserve">Senior AI/ML Engineer</w:t>
      </w:r>
    </w:p>
    <w:p>
      <w:pPr>
        <w:spacing w:after="20"/>
        <w:ind w:left="300"/>
      </w:pPr>
      <w:r>
        <w:rPr>
          <w:rFonts w:ascii="Arial" w:cs="Arial" w:eastAsia="Arial" w:hAnsi="Arial"/>
          <w:b/>
          <w:bCs/>
          <w:color w:val="E94560"/>
          <w:sz w:val="19"/>
          <w:szCs w:val="19"/>
        </w:rPr>
        <w:t xml:space="preserve">5. </w:t>
      </w:r>
      <w:r>
        <w:rPr>
          <w:rFonts w:ascii="Arial" w:cs="Arial" w:eastAsia="Arial" w:hAnsi="Arial"/>
          <w:color w:val="333333"/>
          <w:sz w:val="19"/>
          <w:szCs w:val="19"/>
        </w:rPr>
        <w:t xml:space="preserve">Senior Full-Stack / Mobile Engineer</w:t>
      </w:r>
    </w:p>
    <w:p>
      <w:pPr>
        <w:spacing w:after="20"/>
        <w:ind w:left="300"/>
      </w:pPr>
      <w:r>
        <w:rPr>
          <w:rFonts w:ascii="Arial" w:cs="Arial" w:eastAsia="Arial" w:hAnsi="Arial"/>
          <w:b/>
          <w:bCs/>
          <w:color w:val="E94560"/>
          <w:sz w:val="19"/>
          <w:szCs w:val="19"/>
        </w:rPr>
        <w:t xml:space="preserve">6. </w:t>
      </w:r>
      <w:r>
        <w:rPr>
          <w:rFonts w:ascii="Arial" w:cs="Arial" w:eastAsia="Arial" w:hAnsi="Arial"/>
          <w:color w:val="333333"/>
          <w:sz w:val="19"/>
          <w:szCs w:val="19"/>
        </w:rPr>
        <w:t xml:space="preserve">Product &amp; Conversation Designer (hybrid)</w:t>
      </w:r>
    </w:p>
    <w:p>
      <w:pPr>
        <w:spacing w:after="20"/>
        <w:ind w:left="300"/>
      </w:pPr>
      <w:r>
        <w:rPr>
          <w:rFonts w:ascii="Arial" w:cs="Arial" w:eastAsia="Arial" w:hAnsi="Arial"/>
          <w:b/>
          <w:bCs/>
          <w:color w:val="E94560"/>
          <w:sz w:val="19"/>
          <w:szCs w:val="19"/>
        </w:rPr>
        <w:t xml:space="preserve">7. </w:t>
      </w:r>
      <w:r>
        <w:rPr>
          <w:rFonts w:ascii="Arial" w:cs="Arial" w:eastAsia="Arial" w:hAnsi="Arial"/>
          <w:color w:val="333333"/>
          <w:sz w:val="19"/>
          <w:szCs w:val="19"/>
        </w:rPr>
        <w:t xml:space="preserve">Product / Brand Designer (hybrid)</w:t>
      </w:r>
    </w:p>
    <w:p>
      <w:pPr>
        <w:spacing w:after="20"/>
        <w:ind w:left="300"/>
      </w:pPr>
      <w:r>
        <w:rPr>
          <w:rFonts w:ascii="Arial" w:cs="Arial" w:eastAsia="Arial" w:hAnsi="Arial"/>
          <w:b/>
          <w:bCs/>
          <w:color w:val="E94560"/>
          <w:sz w:val="19"/>
          <w:szCs w:val="19"/>
        </w:rPr>
        <w:t xml:space="preserve">8. </w:t>
      </w:r>
      <w:r>
        <w:rPr>
          <w:rFonts w:ascii="Arial" w:cs="Arial" w:eastAsia="Arial" w:hAnsi="Arial"/>
          <w:color w:val="333333"/>
          <w:sz w:val="19"/>
          <w:szCs w:val="19"/>
        </w:rPr>
        <w:t xml:space="preserve">Behavioral Neuroscientist / Head of Research</w:t>
      </w:r>
    </w:p>
    <w:p>
      <w:pPr>
        <w:spacing w:after="20"/>
        <w:ind w:left="300"/>
      </w:pPr>
      <w:r>
        <w:rPr>
          <w:rFonts w:ascii="Arial" w:cs="Arial" w:eastAsia="Arial" w:hAnsi="Arial"/>
          <w:b/>
          <w:bCs/>
          <w:color w:val="E94560"/>
          <w:sz w:val="19"/>
          <w:szCs w:val="19"/>
        </w:rPr>
        <w:t xml:space="preserve">9. </w:t>
      </w:r>
      <w:r>
        <w:rPr>
          <w:rFonts w:ascii="Arial" w:cs="Arial" w:eastAsia="Arial" w:hAnsi="Arial"/>
          <w:color w:val="333333"/>
          <w:sz w:val="19"/>
          <w:szCs w:val="19"/>
        </w:rPr>
        <w:t xml:space="preserve">Head of Growth &amp; Enterprise Sales</w:t>
      </w:r>
    </w:p>
    <w:p>
      <w:pPr>
        <w:spacing w:after="20"/>
        <w:ind w:left="300"/>
      </w:pPr>
      <w:r>
        <w:rPr>
          <w:rFonts w:ascii="Arial" w:cs="Arial" w:eastAsia="Arial" w:hAnsi="Arial"/>
          <w:b/>
          <w:bCs/>
          <w:color w:val="E94560"/>
          <w:sz w:val="19"/>
          <w:szCs w:val="19"/>
        </w:rPr>
        <w:t xml:space="preserve">10. </w:t>
      </w:r>
      <w:r>
        <w:rPr>
          <w:rFonts w:ascii="Arial" w:cs="Arial" w:eastAsia="Arial" w:hAnsi="Arial"/>
          <w:color w:val="333333"/>
          <w:sz w:val="19"/>
          <w:szCs w:val="19"/>
        </w:rPr>
        <w:t xml:space="preserve">Operations &amp; Finance Manager</w:t>
      </w:r>
    </w:p>
    <w:p>
      <w:pPr>
        <w:spacing w:after="20"/>
        <w:ind w:left="300"/>
      </w:pPr>
      <w:r>
        <w:rPr>
          <w:rFonts w:ascii="Arial" w:cs="Arial" w:eastAsia="Arial" w:hAnsi="Arial"/>
          <w:b/>
          <w:bCs/>
          <w:color w:val="E94560"/>
          <w:sz w:val="19"/>
          <w:szCs w:val="19"/>
        </w:rPr>
        <w:t xml:space="preserve">11. </w:t>
      </w:r>
      <w:r>
        <w:rPr>
          <w:rFonts w:ascii="Arial" w:cs="Arial" w:eastAsia="Arial" w:hAnsi="Arial"/>
          <w:color w:val="333333"/>
          <w:sz w:val="19"/>
          <w:szCs w:val="19"/>
        </w:rPr>
        <w:t xml:space="preserve">Community &amp; Culture Builder</w:t>
      </w:r>
    </w:p>
    <w:p>
      <w:pPr>
        <w:spacing w:after="20"/>
        <w:ind w:left="300"/>
      </w:pPr>
      <w:r>
        <w:rPr>
          <w:rFonts w:ascii="Arial" w:cs="Arial" w:eastAsia="Arial" w:hAnsi="Arial"/>
          <w:b/>
          <w:bCs/>
          <w:color w:val="E94560"/>
          <w:sz w:val="19"/>
          <w:szCs w:val="19"/>
        </w:rPr>
        <w:t xml:space="preserve">12. </w:t>
      </w:r>
      <w:r>
        <w:rPr>
          <w:rFonts w:ascii="Arial" w:cs="Arial" w:eastAsia="Arial" w:hAnsi="Arial"/>
          <w:color w:val="333333"/>
          <w:sz w:val="19"/>
          <w:szCs w:val="19"/>
        </w:rPr>
        <w:t xml:space="preserve">AI Ethics &amp; Human-Centered Design Lead</w:t>
      </w:r>
    </w:p>
    <w:p>
      <w:pPr>
        <w:spacing w:after="20" w:before="20"/>
      </w:pPr>
    </w:p>
    <w:p>
      <w:pPr>
        <w:spacing w:after="40" w:line="270"/>
      </w:pPr>
      <w:r>
        <w:rPr>
          <w:rFonts w:ascii="Arial" w:cs="Arial" w:eastAsia="Arial" w:hAnsi="Arial"/>
          <w:b/>
          <w:bCs/>
          <w:color w:val="8B5E3C"/>
          <w:sz w:val="22"/>
          <w:szCs w:val="22"/>
        </w:rPr>
        <w:t xml:space="preserve">Paid Advisors (6):</w:t>
      </w:r>
    </w:p>
    <w:p>
      <w:pPr>
        <w:spacing w:after="20"/>
        <w:ind w:left="300"/>
      </w:pPr>
      <w:r>
        <w:rPr>
          <w:rFonts w:ascii="Arial" w:cs="Arial" w:eastAsia="Arial" w:hAnsi="Arial"/>
          <w:b/>
          <w:bCs/>
          <w:color w:val="8B5E3C"/>
          <w:sz w:val="19"/>
          <w:szCs w:val="19"/>
        </w:rPr>
        <w:t xml:space="preserve">A. </w:t>
      </w:r>
      <w:r>
        <w:rPr>
          <w:rFonts w:ascii="Arial" w:cs="Arial" w:eastAsia="Arial" w:hAnsi="Arial"/>
          <w:color w:val="333333"/>
          <w:sz w:val="19"/>
          <w:szCs w:val="19"/>
        </w:rPr>
        <w:t xml:space="preserve">FQHC/MCO Executive Advisor</w:t>
      </w:r>
    </w:p>
    <w:p>
      <w:pPr>
        <w:spacing w:after="20"/>
        <w:ind w:left="300"/>
      </w:pPr>
      <w:r>
        <w:rPr>
          <w:rFonts w:ascii="Arial" w:cs="Arial" w:eastAsia="Arial" w:hAnsi="Arial"/>
          <w:b/>
          <w:bCs/>
          <w:color w:val="8B5E3C"/>
          <w:sz w:val="19"/>
          <w:szCs w:val="19"/>
        </w:rPr>
        <w:t xml:space="preserve">B. </w:t>
      </w:r>
      <w:r>
        <w:rPr>
          <w:rFonts w:ascii="Arial" w:cs="Arial" w:eastAsia="Arial" w:hAnsi="Arial"/>
          <w:color w:val="333333"/>
          <w:sz w:val="19"/>
          <w:szCs w:val="19"/>
        </w:rPr>
        <w:t xml:space="preserve">Public Health Advisor</w:t>
      </w:r>
    </w:p>
    <w:p>
      <w:pPr>
        <w:spacing w:after="20"/>
        <w:ind w:left="300"/>
      </w:pPr>
      <w:r>
        <w:rPr>
          <w:rFonts w:ascii="Arial" w:cs="Arial" w:eastAsia="Arial" w:hAnsi="Arial"/>
          <w:b/>
          <w:bCs/>
          <w:color w:val="8B5E3C"/>
          <w:sz w:val="19"/>
          <w:szCs w:val="19"/>
        </w:rPr>
        <w:t xml:space="preserve">C. </w:t>
      </w:r>
      <w:r>
        <w:rPr>
          <w:rFonts w:ascii="Arial" w:cs="Arial" w:eastAsia="Arial" w:hAnsi="Arial"/>
          <w:color w:val="333333"/>
          <w:sz w:val="19"/>
          <w:szCs w:val="19"/>
        </w:rPr>
        <w:t xml:space="preserve">Neuroscience / Polyvagal Advisor</w:t>
      </w:r>
    </w:p>
    <w:p>
      <w:pPr>
        <w:spacing w:after="20"/>
        <w:ind w:left="300"/>
      </w:pPr>
      <w:r>
        <w:rPr>
          <w:rFonts w:ascii="Arial" w:cs="Arial" w:eastAsia="Arial" w:hAnsi="Arial"/>
          <w:b/>
          <w:bCs/>
          <w:color w:val="8B5E3C"/>
          <w:sz w:val="19"/>
          <w:szCs w:val="19"/>
        </w:rPr>
        <w:t xml:space="preserve">D. </w:t>
      </w:r>
      <w:r>
        <w:rPr>
          <w:rFonts w:ascii="Arial" w:cs="Arial" w:eastAsia="Arial" w:hAnsi="Arial"/>
          <w:color w:val="333333"/>
          <w:sz w:val="19"/>
          <w:szCs w:val="19"/>
        </w:rPr>
        <w:t xml:space="preserve">AI / Technical Advisor</w:t>
      </w:r>
    </w:p>
    <w:p>
      <w:pPr>
        <w:spacing w:after="20"/>
        <w:ind w:left="300"/>
      </w:pPr>
      <w:r>
        <w:rPr>
          <w:rFonts w:ascii="Arial" w:cs="Arial" w:eastAsia="Arial" w:hAnsi="Arial"/>
          <w:b/>
          <w:bCs/>
          <w:color w:val="8B5E3C"/>
          <w:sz w:val="19"/>
          <w:szCs w:val="19"/>
        </w:rPr>
        <w:t xml:space="preserve">E. </w:t>
      </w:r>
      <w:r>
        <w:rPr>
          <w:rFonts w:ascii="Arial" w:cs="Arial" w:eastAsia="Arial" w:hAnsi="Arial"/>
          <w:color w:val="333333"/>
          <w:sz w:val="19"/>
          <w:szCs w:val="19"/>
        </w:rPr>
        <w:t xml:space="preserve">Cultural / Entertainment Industry Advisor</w:t>
      </w:r>
    </w:p>
    <w:p>
      <w:pPr>
        <w:spacing w:after="20"/>
        <w:ind w:left="300"/>
      </w:pPr>
      <w:r>
        <w:rPr>
          <w:rFonts w:ascii="Arial" w:cs="Arial" w:eastAsia="Arial" w:hAnsi="Arial"/>
          <w:b/>
          <w:bCs/>
          <w:color w:val="8B5E3C"/>
          <w:sz w:val="19"/>
          <w:szCs w:val="19"/>
        </w:rPr>
        <w:t xml:space="preserve">F. </w:t>
      </w:r>
      <w:r>
        <w:rPr>
          <w:rFonts w:ascii="Arial" w:cs="Arial" w:eastAsia="Arial" w:hAnsi="Arial"/>
          <w:color w:val="333333"/>
          <w:sz w:val="19"/>
          <w:szCs w:val="19"/>
        </w:rPr>
        <w:t xml:space="preserve">Legal / Regulatory Advisor (Healthcare + AI)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CEO / Founder</w:t>
            </w:r>
          </w:p>
          <w:p>
            <w:pPr>
              <w:spacing w:before="20"/>
            </w:pPr>
            <w:r>
              <w:rPr>
                <w:rFonts w:ascii="Arial" w:cs="Arial" w:eastAsia="Arial" w:hAnsi="Arial"/>
                <w:i/>
                <w:iCs/>
                <w:color w:val="777777"/>
                <w:sz w:val="17"/>
                <w:szCs w:val="17"/>
              </w:rPr>
              <w:t xml:space="preserve">Katy Kelly — Already in seat</w:t>
            </w:r>
          </w:p>
        </w:tc>
      </w:tr>
    </w:tbl>
    <w:p>
      <w:pPr>
        <w:spacing w:after="10" w:before="10"/>
      </w:pPr>
    </w:p>
    <w:p>
      <w:pPr>
        <w:spacing w:after="50" w:line="260"/>
        <w:ind w:left="200"/>
      </w:pPr>
      <w:r>
        <w:rPr>
          <w:rFonts w:ascii="Arial" w:cs="Arial" w:eastAsia="Arial" w:hAnsi="Arial"/>
          <w:b/>
          <w:bCs/>
          <w:color w:val="E94560"/>
          <w:sz w:val="19"/>
          <w:szCs w:val="19"/>
        </w:rPr>
        <w:t xml:space="preserve">Status: </w:t>
      </w:r>
      <w:r>
        <w:rPr>
          <w:rFonts w:ascii="Arial" w:cs="Arial" w:eastAsia="Arial" w:hAnsi="Arial"/>
          <w:color w:val="333333"/>
          <w:sz w:val="19"/>
          <w:szCs w:val="19"/>
        </w:rPr>
        <w:t xml:space="preserve">In seat. Everything flows from here.</w:t>
      </w:r>
    </w:p>
    <w:p>
      <w:pPr>
        <w:spacing w:after="50" w:line="260"/>
        <w:ind w:left="200"/>
      </w:pPr>
      <w:r>
        <w:rPr>
          <w:rFonts w:ascii="Arial" w:cs="Arial" w:eastAsia="Arial" w:hAnsi="Arial"/>
          <w:b/>
          <w:bCs/>
          <w:color w:val="E94560"/>
          <w:sz w:val="19"/>
          <w:szCs w:val="19"/>
        </w:rPr>
        <w:t xml:space="preserve">Background: </w:t>
      </w:r>
      <w:r>
        <w:rPr>
          <w:rFonts w:ascii="Arial" w:cs="Arial" w:eastAsia="Arial" w:hAnsi="Arial"/>
          <w:color w:val="333333"/>
          <w:sz w:val="19"/>
          <w:szCs w:val="19"/>
        </w:rPr>
        <w:t xml:space="preserve">Systems architect + health equity innovator + cultural visionary. Lived experience in justice, healthcare, and social systems. Co-founder with Jermaine Fields. Unfair insight into why people collapse inside compressive systems and what restores motion.</w:t>
      </w:r>
    </w:p>
    <w:p>
      <w:pPr>
        <w:spacing w:after="50" w:line="260"/>
        <w:ind w:left="200"/>
      </w:pPr>
      <w:r>
        <w:rPr>
          <w:rFonts w:ascii="Arial" w:cs="Arial" w:eastAsia="Arial" w:hAnsi="Arial"/>
          <w:b/>
          <w:bCs/>
          <w:color w:val="E94560"/>
          <w:sz w:val="19"/>
          <w:szCs w:val="19"/>
        </w:rPr>
        <w:t xml:space="preserve">Recognitions: </w:t>
      </w:r>
      <w:r>
        <w:rPr>
          <w:rFonts w:ascii="Arial" w:cs="Arial" w:eastAsia="Arial" w:hAnsi="Arial"/>
          <w:color w:val="333333"/>
          <w:sz w:val="19"/>
          <w:szCs w:val="19"/>
        </w:rPr>
        <w:t xml:space="preserve">Techstars Detroit, MIT Solve, Apple Developer Academy, $300K+ funding raised</w:t>
      </w:r>
    </w:p>
    <w:p>
      <w:pPr>
        <w:spacing w:after="50" w:line="260"/>
        <w:ind w:left="200"/>
      </w:pPr>
      <w:r>
        <w:rPr>
          <w:rFonts w:ascii="Arial" w:cs="Arial" w:eastAsia="Arial" w:hAnsi="Arial"/>
          <w:b/>
          <w:bCs/>
          <w:color w:val="E94560"/>
          <w:sz w:val="19"/>
          <w:szCs w:val="19"/>
        </w:rPr>
        <w:t xml:space="preserve">Traction: </w:t>
      </w:r>
      <w:r>
        <w:rPr>
          <w:rFonts w:ascii="Arial" w:cs="Arial" w:eastAsia="Arial" w:hAnsi="Arial"/>
          <w:color w:val="333333"/>
          <w:sz w:val="19"/>
          <w:szCs w:val="19"/>
        </w:rPr>
        <w:t xml:space="preserve">84% DAU, 5 check-ins/week, 32% referral completion lift, 14% ER visit reduction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Executive Assistant to CEO</w:t>
            </w:r>
          </w:p>
          <w:p>
            <w:pPr>
              <w:spacing w:before="20"/>
            </w:pPr>
            <w:r>
              <w:rPr>
                <w:rFonts w:ascii="Arial" w:cs="Arial" w:eastAsia="Arial" w:hAnsi="Arial"/>
                <w:i/>
                <w:iCs/>
                <w:color w:val="777777"/>
                <w:sz w:val="17"/>
                <w:szCs w:val="17"/>
              </w:rPr>
              <w:t xml:space="preserve">Protects and multiplies the founder’s time</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BA in Business Administration, Communications, or Project Management. Degree matters less than speed, discretion, and context-switching across 15 worlds in a single day.</w:t>
      </w:r>
    </w:p>
    <w:p>
      <w:pPr>
        <w:spacing w:after="50" w:line="260"/>
        <w:ind w:left="200"/>
      </w:pPr>
      <w:r>
        <w:rPr>
          <w:rFonts w:ascii="Arial" w:cs="Arial" w:eastAsia="Arial" w:hAnsi="Arial"/>
          <w:b/>
          <w:bCs/>
          <w:color w:val="E94560"/>
          <w:sz w:val="19"/>
          <w:szCs w:val="19"/>
        </w:rPr>
        <w:t xml:space="preserve">Experience: </w:t>
      </w:r>
      <w:r>
        <w:rPr>
          <w:rFonts w:ascii="Arial" w:cs="Arial" w:eastAsia="Arial" w:hAnsi="Arial"/>
          <w:color w:val="333333"/>
          <w:sz w:val="19"/>
          <w:szCs w:val="19"/>
        </w:rPr>
        <w:t xml:space="preserve">5–8 years as EA to a founder/CEO at a high-growth startup or senior executive at a complex organization. Must have supported someone who operates across fundraising, product, culture, enterprise, government, and community simultaneously.</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EA to a founder at Series A–C startup (fast, chaotic), EA at a venture fund (investor-facing polish), EA to a creative executive at media/fashion (cultural fluency), or EA at health system/government (regulatory context)</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Google Workspace (expert), Notion, Slack, Calendly, Zoom, Expensify, DocuSign, Canva, Affinity (investor CRM), travel platforms</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Katy operates across investor meetings, product reviews, cultural partnership dinners, government calls, Labs briefings, enterprise demos, community events, and Board prep — sometimes all in one day. This EA prepares the CEO correctly for each world, flags conflicts, prioritizes ruthlessly, and protects deep work. Handles term sheets, personnel decisions, and partnership negotiations with absolute discretion.</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CEO</w:t>
      </w:r>
    </w:p>
    <w:p>
      <w:pPr>
        <w:spacing w:after="50" w:line="260"/>
        <w:ind w:left="200"/>
      </w:pPr>
      <w:r>
        <w:rPr>
          <w:rFonts w:ascii="Arial" w:cs="Arial" w:eastAsia="Arial" w:hAnsi="Arial"/>
          <w:b/>
          <w:bCs/>
          <w:color w:val="E94560"/>
          <w:sz w:val="19"/>
          <w:szCs w:val="19"/>
        </w:rPr>
        <w:t xml:space="preserve">Manages: </w:t>
      </w:r>
      <w:r>
        <w:rPr>
          <w:rFonts w:ascii="Arial" w:cs="Arial" w:eastAsia="Arial" w:hAnsi="Arial"/>
          <w:color w:val="333333"/>
          <w:sz w:val="19"/>
          <w:szCs w:val="19"/>
        </w:rPr>
        <w:t xml:space="preserve">No direct reports. Coordinates external vendors (event planners, travel, printing).</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CEO Master Calendar — single source of truth for Katy’s time. Architected to protect deep work, ensure prep time, balance across functions. No one books the CEO without going through this person.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CEO Weekly Briefing Packet — Sunday/Monday. Week’s priorities, meeting agendas with context, decisions needed, docs requiring review, outstanding items, upcoming deadlines.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Board Meeting Preparation — all materials: deck, financials, resolutions. Distributed to board 5 days before. Logistics for in-person and virtual.</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Investor Update Coordination — monthly/quarterly. Coordinates with finance (numbers), product (metrics), sales (pipeline). Goes out on time.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Meeting Notes &amp; Action Items — captures from key meetings, tracks completion, follows up on overdue items.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Travel &amp; Event Logistics — flights, hotels, transport, registrations, dinner reservations, gift/thank-you coordination.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Expense Reports — CEO expenses submitted on time, categorized, receipts attached.</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Confidential File Management — term sheets, partnership agreements, personnel actions, legal docs. Organized, secured.</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CEO Communication Triage — email/Slack/DM. Flags urgent, drafts routine responses, routes requests, ensures nothing falls through.</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Event &amp; Conference Prep Packets — who’s attending, who to meet, backgrounds, talking points, follow-up actions.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Quarterly OKR Tracking Support — collects updates from leads, prepares review materials.</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Before CEO wakes: review overnight, flag urgent, confirm schedule, ensure prep materials ready.</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Morning: brief CEO, handle calendar changes, send pre-meeting context.</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Throughout day: attend/monitor meetings, capture actions, manage inbound, coordinate with leads.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End of day: prepare tomorrow, handle travel/expenses/docs, send “tomorrow preview.”</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CEO, Ops Lead (financials), all team leads (scheduling), investors/board (logistics)</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The EA behind Reid Hoffman at Greylock or Ben Horowitz at a16z — managing a principal across investing, product, culture, media, and governance with zero dropped balls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CTO / Technical Co-Founder</w:t>
            </w:r>
          </w:p>
          <w:p>
            <w:pPr>
              <w:spacing w:before="20"/>
            </w:pPr>
            <w:r>
              <w:rPr>
                <w:rFonts w:ascii="Arial" w:cs="Arial" w:eastAsia="Arial" w:hAnsi="Arial"/>
                <w:i/>
                <w:iCs/>
                <w:color w:val="777777"/>
                <w:sz w:val="17"/>
                <w:szCs w:val="17"/>
              </w:rPr>
              <w:t xml:space="preserve">THE hire. Nothing else matters until this person is in seat.</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MS or PhD in Computer Science, AI/ML, or Computational Linguistics</w:t>
      </w:r>
    </w:p>
    <w:p>
      <w:pPr>
        <w:spacing w:after="50" w:line="260"/>
        <w:ind w:left="200"/>
      </w:pPr>
      <w:r>
        <w:rPr>
          <w:rFonts w:ascii="Arial" w:cs="Arial" w:eastAsia="Arial" w:hAnsi="Arial"/>
          <w:b/>
          <w:bCs/>
          <w:color w:val="E94560"/>
          <w:sz w:val="19"/>
          <w:szCs w:val="19"/>
        </w:rPr>
        <w:t xml:space="preserve">Experience: </w:t>
      </w:r>
      <w:r>
        <w:rPr>
          <w:rFonts w:ascii="Arial" w:cs="Arial" w:eastAsia="Arial" w:hAnsi="Arial"/>
          <w:color w:val="333333"/>
          <w:sz w:val="19"/>
          <w:szCs w:val="19"/>
        </w:rPr>
        <w:t xml:space="preserve">8–12 years software engineering and AI; founding/early engineer or CTO at a startup that shipped real-time AI to real users. Must have built AND managed. Not a “visionary architect” — a builder who also architects.</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Conversational AI architecture, real-time voice, multi-engine/multi-agent orchestration, LLM apps, HIPAA-compliant cloud, mobile-first consumer. Depth in behavioral ML, affective computing, or voice/speech processing.</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A startup where they BUILT the thing — Replika, Hume, Character.ai, a YC company. Not a big company where they managed people who built. Must have shipped production systems.</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Python, TypeScript, React Native, PostgreSQL, Redis, Kafka, LangChain, Whisper, ElevenLabs, AWS/GCP, Docker/K8s, Terraform, GitHub Actions, Datadog</w:t>
      </w:r>
    </w:p>
    <w:p>
      <w:pPr>
        <w:spacing w:after="50" w:line="260"/>
        <w:ind w:left="200"/>
      </w:pPr>
      <w:r>
        <w:rPr>
          <w:rFonts w:ascii="Arial" w:cs="Arial" w:eastAsia="Arial" w:hAnsi="Arial"/>
          <w:b/>
          <w:bCs/>
          <w:color w:val="E94560"/>
          <w:sz w:val="19"/>
          <w:szCs w:val="19"/>
        </w:rPr>
        <w:t xml:space="preserve">Certifications: </w:t>
      </w:r>
      <w:r>
        <w:rPr>
          <w:rFonts w:ascii="Arial" w:cs="Arial" w:eastAsia="Arial" w:hAnsi="Arial"/>
          <w:color w:val="333333"/>
          <w:sz w:val="19"/>
          <w:szCs w:val="19"/>
        </w:rPr>
        <w:t xml:space="preserve">Published at NeurIPS, ICML, ACL, or Interspeech a plus. Architecture experience &gt; certs.</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Builds Siani v1 (voice + conversation engine), first 2–3 Crew agents, mobile app scaffold, API layer, database, and CI/CD — with one other engineer. Also owns: technical architecture doc, voice pipeline (&lt;1100ms), infrastructure, security basics, and engineering hiring plan for the next 3 hires. One of the hardest CTO roles in tech because the system spans real-time voice, multi-engine AI, HIPAA compliance, premium consumer mobile, AND enterprise analytics.</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CEO</w:t>
      </w:r>
    </w:p>
    <w:p>
      <w:pPr>
        <w:spacing w:after="50" w:line="260"/>
        <w:ind w:left="200"/>
      </w:pPr>
      <w:r>
        <w:rPr>
          <w:rFonts w:ascii="Arial" w:cs="Arial" w:eastAsia="Arial" w:hAnsi="Arial"/>
          <w:b/>
          <w:bCs/>
          <w:color w:val="E94560"/>
          <w:sz w:val="19"/>
          <w:szCs w:val="19"/>
        </w:rPr>
        <w:t xml:space="preserve">Manages: </w:t>
      </w:r>
      <w:r>
        <w:rPr>
          <w:rFonts w:ascii="Arial" w:cs="Arial" w:eastAsia="Arial" w:hAnsi="Arial"/>
          <w:color w:val="333333"/>
          <w:sz w:val="19"/>
          <w:szCs w:val="19"/>
        </w:rPr>
        <w:t xml:space="preserve">All engineering initially. Sr. AI/ML Engineer, Sr. Full-Stack Engineer.</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Technical Architecture Document — master blueprint: components, service boundaries, data flow, APIs, infra, security, scaling. Updated quarterly. The technical Bible.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Technology Roadmap — aligned with product. What gets built when, dependencies. Board/investor quarterly.</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Infrastructure &amp; Security Architecture — HIPAA-compliant cloud, encryption, access controls, audit logs, incident response. SOC 2 readiness.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Engineering Hiring Plan — who, what order, what level, what skills. Wrong first 5 hires = 18 month setback.</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Technical Due Diligence Package — architecture, scalability, security, risk. Ready for any investor’s diligence.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Vendor &amp; Build-vs-Buy Decision Log — every major tech choice with rationale, alternatives, reversal cost.</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Voice Pipeline Architecture — ASR → Prosody → Emotion → Routing → Response → TTS within 1100ms budget.</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Engine Orchestration Architecture — 25+ engines in parallel, signal fusion, &lt;2.9s P95.</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Data Architecture — DocumentDB, VectorDB, TimeSeriesDB, UserHistoryDB. Schema, encryption, PHI segmentation.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Sprint Planning &amp; Release Management — owns cadence and deployment until VP Eng is hired.</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Code Review &amp; ADR Process — quality standards, architectural decision records.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Patent Disclosure Support — identifies patentable innovations, provides technical docs for claims.</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Morning: code review on critical PRs. Architecture decisions. 1:1 with engineers.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Midday: product-eng sync. PM wants a feature → CTO scopes feasibility and timeline.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Afternoon: deep architecture work or recruiting (phone screens). Investor tech diligence prep.</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End of day: infra monitoring, deployment pipeline, prep for tomorrow.</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CEO (strategy, fundraising), Product/Conversation Designer (requirements), Behavioral Scientist (research-to-production), Ops Lead (vendor costs)</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Eugenia Kuyda’s technical co-founder at Replika, Mira Murati (OpenAI product engineering), Guillermo Rauch (Vercel — architect who ships fast)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4</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Senior AI/ML Engineer</w:t>
            </w:r>
          </w:p>
          <w:p>
            <w:pPr>
              <w:spacing w:before="20"/>
            </w:pPr>
            <w:r>
              <w:rPr>
                <w:rFonts w:ascii="Arial" w:cs="Arial" w:eastAsia="Arial" w:hAnsi="Arial"/>
                <w:i/>
                <w:iCs/>
                <w:color w:val="777777"/>
                <w:sz w:val="17"/>
                <w:szCs w:val="17"/>
              </w:rPr>
              <w:t xml:space="preserve">CTO’s first hire. Can’t build everything alone.</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MS or PhD in CS/ML. 5–8 years. Has deployed ML models in production consumer products.</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LLM orchestration, conversation engine, context management, mode switching, emotion/affect detection from text+voice, Signal Score v1 computation, voice pipeline latency tuning</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Replika, Hume, Woebot, Amazon Alexa Science, a health AI startup, or consumer AI company where they built the inference pipeline. NOT a researcher. A builder who understands ML.</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PyTorch, LangChain/LlamaIndex, Whisper, vector DBs (Pinecone/Weaviate), FastAPI, Redis, real-time inference serving, Weights &amp; Biases</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Owns: conversation engine (LLM orchestration, context management, mode switching), Signal Score v1 computation, voice pipeline tuning, and first engine implementations (emotional detection, basic shame/avoidance signals). Ships models to production, not papers to arXiv. At this stage also does: data pipeline basics, experiment tracking, model eval, and whatever the CTO needs.</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CTO</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Conversation Engine v1.0 — LLM orchestration, context window management, mode switching logic, multi-turn memory. The system that makes Siani respond intelligently.</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Signal Score v1 Implementation — computes Self-Trust, Agency, Regulation, Coherence, Shame Load from conversational signals. First working version.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Engine Implementations v1 — first 3–4 engines in production: emotional state detection, shame/avoidance signal extraction, basic cognitive load estimation, safety/crisis detection.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Voice Pipeline ML Components — prosody feature extraction, emotion classification from audio, latency optimization for ML inference in the voice loop.</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Model Evaluation Framework — how we measure whether the ML components actually work: accuracy, latency, false positive/negative rates, and real-world outcome correlation.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ML Experiment Logs — tracked in W&amp;B. Every experiment documented: hypothesis, configuration, results, decision.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Data Pipeline v1 — ingestion from conversations into structured data the engines and Signal Score can consume.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Model Cards — for every deployed model: what it does, training data, performance metrics, known limitations, and fairness evaluation.</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Morning: check inference latency dashboards, review overnight model performance. PR review with CTO.</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Midday: deep work — improving conversation engine (e.g., context window handling when user returns after 3 days).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Afternoon: testing Signal Score computation against beta user data. Does it correlate with behavioral outcomes?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End of day: experiment tracking, model evaluation, prep for tomorrow.</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CTO (architecture, pairing), Product/Conversation Designer (engine behavior requirements), Behavioral Scientist (Signal Score validation), Full-Stack Engineer (integration)</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A senior ML engineer from Replika or Hume who built the emotional intelligence layer — not a Google Brain researcher who’s never shipped consumer product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5</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Senior Full-Stack / Mobile Engineer</w:t>
            </w:r>
          </w:p>
          <w:p>
            <w:pPr>
              <w:spacing w:before="20"/>
            </w:pPr>
            <w:r>
              <w:rPr>
                <w:rFonts w:ascii="Arial" w:cs="Arial" w:eastAsia="Arial" w:hAnsi="Arial"/>
                <w:i/>
                <w:iCs/>
                <w:color w:val="777777"/>
                <w:sz w:val="17"/>
                <w:szCs w:val="17"/>
              </w:rPr>
              <w:t xml:space="preserve">Makes the product FEEL like a $100M company with 12 people</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BS in CS. 5–8 years. Built consumer mobile apps people love using.</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React Native, premium mobile UI, voice-first interaction, real-time communication (WebSocket/WebRTC), API design, animations, responsive design for low-end devices</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A consumer product where design quality mattered — Headspace, Calm, Cash App, Spotify, premium fintech or health app. Not enterprise SaaS.</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React Native, TypeScript, Figma-to-code, Tailwind, WebSocket/WebRTC, REST/GraphQL, Reanimated/Lottie, TestFlight/Firebase</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Builds the consumer app users touch. Voice-first UI. Premium feel. Also builds: API layer, first Crew agent frontend, onboarding (Slow Reveal), enterprise dashboard prototype for demos. At this stage also: implements designer’s work, builds marketing website, handles frontend bugs at 11 PM.</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CTO</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Siani Mobile App v1.0 — React Native. Voice-first. Premium aesthetic matching brand system.</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Voice UI Implementation — real-time voice interaction with visual feedback, silence states, mode transitions.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Onboarding Flow — Slow Reveal implementation. Surface Vibe → Welcome Energy → Slow Reveal.</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Crew Agent Frontend — how users interact with first 2–3 Crew members. Personality-specific UI touches.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API Layer — RESTful/GraphQL powering mobile app, conversation engine, enterprise prototype.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Enterprise Dashboard Prototype — when sales needs a demo for MCO prospects. Signal Score visualization, basic analytics.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Marketing Website — sainte.com. Implements designer’s direction. Must load fast and look premium.</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Device Testing Matrix — ensures product works on cheap Android phones on cellular, not just iPhones on WiFi.</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Frontend CI/CD — automated testing, builds, TestFlight/Play Store deployment.</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Morning: production check, fix critical bugs. Code review with CTO.</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Midday: building features (e.g., Reflect mode with silence handling in voice UI).</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Afternoon: testing on real devices. Does voice work on budget Android over cellular?</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End of day: deploy to staging, run tests, prep for standup.</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CTO (architecture), Product/Conversation Designer (requirements), Designer (implementing visuals), AI/ML Engineer (integration)</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First engineer at Replika, first full-stack at Clubhouse, or a Stripe-caliber engineer who builds entire product surfaces in a weekend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6</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Product &amp; Conversation Designer (hybrid)</w:t>
            </w:r>
          </w:p>
          <w:p>
            <w:pPr>
              <w:spacing w:before="20"/>
            </w:pPr>
            <w:r>
              <w:rPr>
                <w:rFonts w:ascii="Arial" w:cs="Arial" w:eastAsia="Arial" w:hAnsi="Arial"/>
                <w:i/>
                <w:iCs/>
                <w:color w:val="777777"/>
                <w:sz w:val="17"/>
                <w:szCs w:val="17"/>
              </w:rPr>
              <w:t xml:space="preserve">Writes PRDs AND writes Siani’s personality. Decides what to build AND how Siani talks.</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MA in Linguistics, HCI, or Cognitive Science + product experience. Or PM background with deep conversation design skills. This combination is rare.</w:t>
      </w:r>
    </w:p>
    <w:p>
      <w:pPr>
        <w:spacing w:after="50" w:line="260"/>
        <w:ind w:left="200"/>
      </w:pPr>
      <w:r>
        <w:rPr>
          <w:rFonts w:ascii="Arial" w:cs="Arial" w:eastAsia="Arial" w:hAnsi="Arial"/>
          <w:b/>
          <w:bCs/>
          <w:color w:val="E94560"/>
          <w:sz w:val="19"/>
          <w:szCs w:val="19"/>
        </w:rPr>
        <w:t xml:space="preserve">Experience: </w:t>
      </w:r>
      <w:r>
        <w:rPr>
          <w:rFonts w:ascii="Arial" w:cs="Arial" w:eastAsia="Arial" w:hAnsi="Arial"/>
          <w:color w:val="333333"/>
          <w:sz w:val="19"/>
          <w:szCs w:val="19"/>
        </w:rPr>
        <w:t xml:space="preserve">6–10 years. Has shipped a conversational AI product AND managed a product roadmap.</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Voice-first persona design, product strategy, trauma-informed interaction, sociolinguistics, emotional tone calibration, silence architecture, prompt engineering, user research, behavioral product metrics</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Replika (product + conversation), Woebot (clinical conversation + product), Google Assistant (conversation design with product context), or a consumer AI startup where they wore both hats</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Figma, Voiceflow, Amplitude, Linear/Jira, Notion, Dovetail, prompt engineering frameworks, session replay, Loom</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At pre-seed/seed, you cannot afford separate Head of Product AND Head of Conversation Design. One person does both. Defines what gets built AND how Siani talks. Writes the Conversation Bible AND the product roadmap. Designs Siani’s 10 interaction modes AND the Crew handoff UX. Conducts user research AND presents product to investors.</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CEO</w:t>
      </w:r>
    </w:p>
    <w:p>
      <w:pPr>
        <w:spacing w:after="50" w:line="260"/>
        <w:ind w:left="200"/>
      </w:pPr>
      <w:r>
        <w:rPr>
          <w:rFonts w:ascii="Arial" w:cs="Arial" w:eastAsia="Arial" w:hAnsi="Arial"/>
          <w:b/>
          <w:bCs/>
          <w:color w:val="E94560"/>
          <w:sz w:val="19"/>
          <w:szCs w:val="19"/>
        </w:rPr>
        <w:t xml:space="preserve">Manages: </w:t>
      </w:r>
      <w:r>
        <w:rPr>
          <w:rFonts w:ascii="Arial" w:cs="Arial" w:eastAsia="Arial" w:hAnsi="Arial"/>
          <w:color w:val="333333"/>
          <w:sz w:val="19"/>
          <w:szCs w:val="19"/>
        </w:rPr>
        <w:t xml:space="preserve">No direct reports. Gives specs to CTO/engineers. Will split into two roles post-seed.</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Product Vision Document — 3-year Siani + Crew vision. Investor/board presentation.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Product Roadmap — quarterly. Prioritized: prove thesis, generate enterprise data, create user love.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PRDs for Every Feature — writes every one at this stage.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Siani Conversation Design Bible v1.0 — personality, tone, 10 modes, mirror mechanics, lifestyle language, silence, turn-taking, culture-coded calibration, hard exclusions.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Siani Voice Personality Brief — who Siani IS. Values, boundaries, humor, warmth, directness.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Lifestyle Elevation Language Dictionary v1.0 — anxiety → “head running hot,” depression → “running on empty,” cognitive distortion → “not the whole picture.”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Silence Architecture Spec v1.0 — post-shame ≥2.8s, post-celebration 1.2s, post-question adaptive.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Mode Specs (x10) — Stabilize, Elevate, Challenge, Reflect, Hype, Decode, Clarify, Reframe, Ground, Move. Triggers, behavior, examples, exits.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First Crew Personality Profiles (3–5) — Scout, Haven, Maven, Anchor. Distinct characters.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Handoff Script Library v1.0 — Siani → Crew transitions.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Prompt Engineering Templates — writes LLM prompts directly at this stage.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Edge Case Decision Log — DV, suicidal ideation, child, intoxicated user. Documented decisions.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Onboarding Flow v1.0 — first 30s, first 5min, first 3 sessions. Slow Reveal.</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Beta Program Design — who gets access, data to collect, iteration, using results for enterprise evidence.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Investor Product Demo — the walkthrough. Presents alongside CEO.</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User Research — conducts interviews personally. Weekly synthesis to team.</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Competitive Analysis — Replika, Character.ai, Pi, Hume, Woebot. Monthly.</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Writes PRDs mornings, conducts user research lunch, reviews conversation design afternoons, preps investor demo evenings. Attends every standup. Listens to sessions daily. Uses the product every day. Argues with CTO about scope. Presents to CEO weekly.</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CEO (vision, investors), CTO (build feasibility), Designer (visual), AI/ML Eng (engine behavior), engineers (standups)</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The product/conversation lead at Replika’s early team who defined what the AI felt like AND decided what to build, Alison Darcy (Woebot — psychologist turned product leader), Aza Raskin (ethics-first product)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7</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Product / Brand Designer (hybrid)</w:t>
            </w:r>
          </w:p>
          <w:p>
            <w:pPr>
              <w:spacing w:before="20"/>
            </w:pPr>
            <w:r>
              <w:rPr>
                <w:rFonts w:ascii="Arial" w:cs="Arial" w:eastAsia="Arial" w:hAnsi="Arial"/>
                <w:i/>
                <w:iCs/>
                <w:color w:val="777777"/>
                <w:sz w:val="17"/>
                <w:szCs w:val="17"/>
              </w:rPr>
              <w:t xml:space="preserve">One designer does everything visual</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BFA/MFA or strong portfolio. 5–8 years consumer design at a brand where visual quality was non-negotiable.</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Mobile-first interaction, design systems, emotional interface, brand identity, motion, designing for distress/cognitive load</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Nike digital, Spotify, Apple, Cash App, Airbnb, Headspace, or an independent brand where they owned the entire visual identity</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Figma (expert), After Effects/Lottie, brand identity design, print production, iOS/Android guidelines, Tailwind/tokens, Stark (accessibility)</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Does everything: Siani app UI/UX, brand identity basics, investor deck, website, social templates, Supply direction. Establishes organic futurism from day one. If the first version looks like a health app, the culture never recovers. Must make a fashion editor respect it AND let a person in crisis at 2 AM navigate it. Until CCO is hired, this is the quality gate.</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CEO (brand) + Product/Conversation Designer (product design)</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SAINTE Brand Identity System v1.0 — logo, emblem (pressed into stone), colors, type, spacing, visual language, photography direction.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Siani Design System v1.0 — component library, tokens, interaction patterns.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Siani App UI/UX — every screen, flow, micro-interaction.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Investor Deck Design — as premium as the product.</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Website — sainte.com. Cultural movement + sophisticated technology.</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Social Media Templates — Instagram, TikTok, X. Consistent, organic, never corporate.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Onboarding Visual Experience — the Slow Reveal. Most important design in the product.</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Emotional State Visual Language — how interface shifts by user state.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Accessibility — WCAG 2.1 AA from day one.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QA — reviews every engineering implementation before release.</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Morning: Figma deep work. Midday: design review with Product and CTO. Afternoon: engineering implementation review. End of day: motion/animation exploration.</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Product/Conversation Designer, CTO/engineers, CEO, Community Builder (content assets)</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Mike Matas (Facebook Paper), Tobias van Schneider (ex-Spotify), the designer at Beats who made a headphone company feel like a cultural movement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8</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Behavioral Neuroscientist / Head of Research</w:t>
            </w:r>
          </w:p>
          <w:p>
            <w:pPr>
              <w:spacing w:before="20"/>
            </w:pPr>
            <w:r>
              <w:rPr>
                <w:rFonts w:ascii="Arial" w:cs="Arial" w:eastAsia="Arial" w:hAnsi="Arial"/>
                <w:i/>
                <w:iCs/>
                <w:color w:val="777777"/>
                <w:sz w:val="17"/>
                <w:szCs w:val="17"/>
              </w:rPr>
              <w:t xml:space="preserve">The scientific credibility of the company. Covers behavioral science AND neuroscience. Can start part-time → full-time.</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PhD in Behavioral Neuroscience, Affective Neuroscience, or Cognitive Neuroscience with applied behavioral research. Dual depth in neural mechanisms AND behavioral intervention design. PhD required. Published in journals spanning both neuroscience and behavioral science.</w:t>
      </w:r>
    </w:p>
    <w:p>
      <w:pPr>
        <w:spacing w:after="50" w:line="260"/>
        <w:ind w:left="200"/>
      </w:pPr>
      <w:r>
        <w:rPr>
          <w:rFonts w:ascii="Arial" w:cs="Arial" w:eastAsia="Arial" w:hAnsi="Arial"/>
          <w:b/>
          <w:bCs/>
          <w:color w:val="E94560"/>
          <w:sz w:val="19"/>
          <w:szCs w:val="19"/>
        </w:rPr>
        <w:t xml:space="preserve">Experience: </w:t>
      </w:r>
      <w:r>
        <w:rPr>
          <w:rFonts w:ascii="Arial" w:cs="Arial" w:eastAsia="Arial" w:hAnsi="Arial"/>
          <w:color w:val="333333"/>
          <w:sz w:val="19"/>
          <w:szCs w:val="19"/>
        </w:rPr>
        <w:t xml:space="preserve">8–12 years. Must have worked in BOTH neuroscience research (neural circuits, polyvagal, HPA axis, neuroplasticity) AND applied behavioral settings (translating brain science into interventions, products, or policy). Not a pure lab neuroscientist. Not a pure behavioral economist. The person who connects “this is what the amygdala does under chronic stress” to “this is why that notification design will backfire.”</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Polyvagal theory and neuroception, neuroplasticity under chronic stress/poverty, shame neurobiology (ACC, insula, PFC interactions), prosody-to-nervous-system pathways, dopamine/serotonin/oxytocin reward and attachment circuits, trauma neuroscience, decision-making under cognitive depletion (Mullainathan &amp; Shafir), psychometric validation, intervention design grounded in neural mechanism</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Stephen Porges’ Polyvagal Institute, Lisa Feldman Barrett’s lab (Northeastern), Antonio Damasio’s lab (USC), Richie Davidson’s Center for Healthy Minds (Wisconsin), Hume AI science team, Woebot clinical neuroscience, Headspace science team, or an academic lab with both neuro AND applied behavioral focus</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R, Python (statsmodels, PyMC, neuroimaging analysis), fMRI/EEG analysis (SPM, FSL, MNE-Python), psychophysiology (HRV, galvanic skin response, cortisol), Qualtrics, REDCap, IRB systems, psychometric frameworks</w:t>
      </w:r>
    </w:p>
    <w:p>
      <w:pPr>
        <w:spacing w:after="50" w:line="260"/>
        <w:ind w:left="200"/>
      </w:pPr>
      <w:r>
        <w:rPr>
          <w:rFonts w:ascii="Arial" w:cs="Arial" w:eastAsia="Arial" w:hAnsi="Arial"/>
          <w:b/>
          <w:bCs/>
          <w:color w:val="E94560"/>
          <w:sz w:val="19"/>
          <w:szCs w:val="19"/>
        </w:rPr>
        <w:t xml:space="preserve">Certifications: </w:t>
      </w:r>
      <w:r>
        <w:rPr>
          <w:rFonts w:ascii="Arial" w:cs="Arial" w:eastAsia="Arial" w:hAnsi="Arial"/>
          <w:color w:val="333333"/>
          <w:sz w:val="19"/>
          <w:szCs w:val="19"/>
        </w:rPr>
        <w:t xml:space="preserve">Published in Nature Neuroscience, SCAN, PNAS, Health Psychology, Psychoneuroendocrinology, or equivalent. IRB experience required. Bonus: motivational interviewing trainer certification.</w:t>
      </w:r>
    </w:p>
    <w:p>
      <w:pPr>
        <w:spacing w:after="50" w:line="260"/>
        <w:ind w:left="200"/>
      </w:pPr>
      <w:r>
        <w:rPr>
          <w:rFonts w:ascii="Arial" w:cs="Arial" w:eastAsia="Arial" w:hAnsi="Arial"/>
          <w:b/>
          <w:bCs/>
          <w:color w:val="E94560"/>
          <w:sz w:val="19"/>
          <w:szCs w:val="19"/>
        </w:rPr>
        <w:t xml:space="preserve">Engagement: </w:t>
      </w:r>
      <w:r>
        <w:rPr>
          <w:rFonts w:ascii="Arial" w:cs="Arial" w:eastAsia="Arial" w:hAnsi="Arial"/>
          <w:color w:val="333333"/>
          <w:sz w:val="19"/>
          <w:szCs w:val="19"/>
        </w:rPr>
        <w:t xml:space="preserve">May start 2–3 days/week at pre-seed, transition full-time at seed close.</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Everything SAINTE claims is neurological: relational presence activates the ventral vagal system, shame collapses PFC function, voice prosody triggers neuroception before conscious processing, neuroplasticity means the brain CAN rewire under the right relational conditions. This person provides scientific credibility for ALL of it — the behavioral claims AND the neural mechanism underneath. Designs Signal Score validation grounded in neuroscience. Writes the NeuroRelational Intelligence™ framework documentation. Ensures patent claims (prosody-conditioned memory retrieval, neuroadaptive response policy) are scientifically defensible. Also the science advisor to product: “that interaction pattern activates the sympathetic system — here’s the polyvagal-informed alternative.” And writes grant applications (SBIR = $250K–$1.5M real money).</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CEO</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NeuroRelational Intelligence™ Framework Document — the scientific specification of the 9-circuit model: how Siani’s voice, pacing, and relational mechanics activate Polyvagal, Dopamine, Oxytocin/Mirror Neurons, Serotonergic, DMN, ACC, PFC, HPA Axis, and Hippocampus circuits. IP documentation + investor credibility + enterprise evidence.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Behavioral Science Foundation Document — the scientific framework: why relational continuity restores capacity, how shame blocks navigation, why the Invisible 80% matters. Investors, clinicians, and enterprise buyers reference this.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Neuroplasticity Evidence Brief — the case that sustained relational engagement creates measurable neural change: stress circuit downregulation, PFC strengthening, vagal tone improvement. Grounds the “capacity restoration” thesis in hard neuroscience.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Prosody-to-Nervous-System Spec — scientific basis for how Siani’s voice characteristics (frequency, pace, warmth) activate safety circuits (ventral vagal) vs. threat circuits (sympathetic/dorsal vagal). Directly informs TTS parameters and voice pipeline.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Shame Neurobiology Research Agenda — how shame activates ACC + insula + disrupts PFC → identity collapse → avoidance cascade. Neural mechanism underneath behavioral shame research.</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Signal Score Validation Plan — psychometric AND neurobiological validation of T, A, R, C, S. Not just survey validation — grounded in neural circuit activation patterns.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Outcome Proof Architecture — DRR definitions, targets (DRR₇ ≥ 60%, DRR₁₄ ≥ 70%, Recurrence ≤ 30%).</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First Outcomes Study Design — IRB submission, protocol, endpoints, sample size, analysis plan.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Research Briefs for Product — 1–2 page neuroscience + behavioral input on each major feature decision. “That notification will trigger a sympathetic response in this population because...”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Investor Science Narrative — neuroscience + behavioral credibility section of every deck. Presented alongside CEO.</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Enterprise Clinical Credibility Package — lit review, NRI™ framework, preliminary data, study pipeline for MCO medical directors.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Patent Technical Declarations — scientific foundation for patent claims: prosody-conditioned memory retrieval, neuroadaptive response policy, self-efficacy graph.</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Grant Applications — NIH SBIR/STTR, PCORI, NIMH, foundations. SBIR = $250K–$1.5M.</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IRB Relationship &amp; Protocol Management — establishes IRB, manages compliance.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Clinical Advisory Board Development — identifies and recruits first 3–5 members from both neuroscience and clinical worlds.</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Morning: writing — NRI™ framework section, grant application, or Signal Score protocol.</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Midday: product review — “that interaction pattern activates sympathetic, here’s the polyvagal alternative.”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Afternoon: analyzing beta data. Is Signal Score moving? Do prosody patterns correlate with user state changes?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End of day: call with potential Clinical Advisory Board member or Neuroscience Advisor.</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CEO (science narrative), Product/Conv Designer (neuro-informed product decisions), CTO (data architecture, voice pipeline specs), AI/ML Engineer (Signal Score, prosody features), Sales (evidence for enterprise), AI Ethics Lead (research ethics)</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Stephen Porges (Polyvagal Theory — SAINTE’s entire approach is built on this), Lisa Feldman Barrett (constructed emotion — redefining affect), Richie Davidson (Wisconsin — neuroplasticity of emotional regulation translated to real-world interventions)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9</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Head of Growth &amp; Enterprise Sales</w:t>
            </w:r>
          </w:p>
          <w:p>
            <w:pPr>
              <w:spacing w:before="20"/>
            </w:pPr>
            <w:r>
              <w:rPr>
                <w:rFonts w:ascii="Arial" w:cs="Arial" w:eastAsia="Arial" w:hAnsi="Arial"/>
                <w:i/>
                <w:iCs/>
                <w:color w:val="777777"/>
                <w:sz w:val="17"/>
                <w:szCs w:val="17"/>
              </w:rPr>
              <w:t xml:space="preserve">Gets the meetings, runs discovery, builds ROI models, closes pilots</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BA or MBA. Track record &gt; degree. Must have personally closed healthcare enterprise deals ≥$500K/year.</w:t>
      </w:r>
    </w:p>
    <w:p>
      <w:pPr>
        <w:spacing w:after="50" w:line="260"/>
        <w:ind w:left="200"/>
      </w:pPr>
      <w:r>
        <w:rPr>
          <w:rFonts w:ascii="Arial" w:cs="Arial" w:eastAsia="Arial" w:hAnsi="Arial"/>
          <w:b/>
          <w:bCs/>
          <w:color w:val="E94560"/>
          <w:sz w:val="19"/>
          <w:szCs w:val="19"/>
        </w:rPr>
        <w:t xml:space="preserve">Experience: </w:t>
      </w:r>
      <w:r>
        <w:rPr>
          <w:rFonts w:ascii="Arial" w:cs="Arial" w:eastAsia="Arial" w:hAnsi="Arial"/>
          <w:color w:val="333333"/>
          <w:sz w:val="19"/>
          <w:szCs w:val="19"/>
        </w:rPr>
        <w:t xml:space="preserve">6–10 years enterprise sales; must have sold to MCOs, health systems, or government health agencies. Understands Medicaid managed care: HEDIS, STAR ratings, risk adjustment, cost avoidance, procurement.</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Medicaid MCO sales, VBC contracting, consultative/CFO-aligned selling, category creation (no existing RFP or budget line)</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Cityblock, Evolent, Unite Us, Netsmart, or health IT startup where they were an early salesperson (not VP managing a team). Or payer side — someone from an MCO who knows the buyer’s world.</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Salesforce/HubSpot, LinkedIn Sales Nav, Excel (ROI models), PowerPoint, ZoomInfo, Outreach, their phone</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Creating a new category. No RFP. No budget line. Must simultaneously educate the buyer, sell the product, and close. “You spend $X million on avoidable ER visits from silent disengagement your systems can’t detect. We intercept before crisis for $25–30 PMPM.” Needs to produce 2–3 LOIs or signed pilots for the seed raise — turns “interesting thesis” into “fundable company.” At this stage: half sales, half BD, half partnerships.</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CEO</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Enterprise Sales Playbook v1.0 — ICP, personas, discovery, objections, positioning, pricing, proposals, close process.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Target Account List — first 50–100 accounts ranked by likelihood, size, strategic value.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Pipeline Dashboard — Salesforce/HubSpot. Reviewed with CEO weekly.</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ROI Calculator — per-prospect financial model. Inputs: members, ER utilization, engagement. Outputs: savings, cost, ROI. CFO-credible.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Enterprise Pitch Deck — 15–20 slides. Co-authored with CEO and Behavioral Scientist.</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Proposal Templates — per vertical: MCO, FQHC, health system, government.</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RFP Response Library — reusable: security answers, HIPAA docs, architecture, outcomes.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First 2–3 LOIs or Pilots — the deliverable that makes the seed raise possible.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Conference Strategy — AHIP, HIMSS, RISE, State Medicaid Director meetings.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Weekly Sales Report — pipeline, win/loss, competitive intel, forecast.</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Morning: follow up on warm leads, prep for calls.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Midday: discovery call with MCO VP Population Health.</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Afternoon: custom proposal. Review ROI numbers with Behavioral Scientist.</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End of day: update pipeline, follow-ups, CEO debrief.</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CEO (strategy, deal support), Behavioral Scientist (evidence), CTO (tech questions, security), Product/Conv Designer (demos), FQHC/MCO Advisor (introductions, validation)</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An early Cityblock or Unite Us salesperson who closed first MCO deals before anyone knew the category, Todd Park (Medicaid ecosystem), Mark Roberge (HubSpot Sales Acceleration Formula)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10</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Operations &amp; Finance Manager</w:t>
            </w:r>
          </w:p>
          <w:p>
            <w:pPr>
              <w:spacing w:before="20"/>
            </w:pPr>
            <w:r>
              <w:rPr>
                <w:rFonts w:ascii="Arial" w:cs="Arial" w:eastAsia="Arial" w:hAnsi="Arial"/>
                <w:i/>
                <w:iCs/>
                <w:color w:val="777777"/>
                <w:sz w:val="17"/>
                <w:szCs w:val="17"/>
              </w:rPr>
              <w:t xml:space="preserve">Keeps the company alive while everyone else builds</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BA Business/Finance or MBA. CPA bonus. 4–7 years startup ops/finance.</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Startup financial modeling, VC fundraising ops (cap tables, SAFEs, 409A), multi-entity setup, grant management, HIPAA organizational compliance, early-stage HR/benefits, vendor contracts</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First ops/finance hire at Seed-Series A startup, venture fund ops team, or accelerator supporting multiple startups</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QuickBooks/Xero, Carta, Gusto/Rippling, Brex/Ramp, Google Sheets, Notion, DocuSign, Bill.com, Stripe</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One person handles: financial model, fundraising ops (data room, cap table, wires), monthly close, cash flow, payroll, benefits, state registrations, vendors, workspace, grants, HIPAA setup, and the hundred details that let everyone else build. Also builds financial infrastructure that scales — chart of accounts, cost centers, reporting — so no rebuild at Series A.</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CEO</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Financial Model — 3–5 year: revenue (PMPM, VBC, DTC, licensing), costs, hiring, cash flow, runway. Updated monthly.</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Monthly Financial Package — P&amp;L, balance sheet, cash flow, variance, runway. By 10th of month.</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Cap Table — Carta. Accurate at all times.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Fundraising Ops — data room, wires, SAFE/note docs, post-close onboarding.</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Cash Flow Management — weekly position, AP/AR, runway alerts.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Payroll &amp; Benefits — Gusto/Rippling setup and ongoing.</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Corporate Governance — bylaws, consents, filings, registered agent, minute book.</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Vendor &amp; Contract Management — organized, renewal tracking, cost optimization.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HIPAA Organizational Checklist — privacy/security officer, training, BAAs, breach procedures.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Grant Budget Management — SBIR, foundation budgets, post-award reporting.</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Insurance — D&amp;O, E&amp;O, cyber, GL, workers’ comp.</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Investor Reporting — quarterly updates coordinated across team.</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409A Coordination — valuation firm, data, completion before option grants.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State Registrations &amp; Tax — multi-state registration, filings.</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Morning: bank balances, charges, vendor payments.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Midday: financial model updates, scenario analysis for CEO.</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Afternoon: new employee setup, vendor contract review.</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End of day: data room update before investor meeting.</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CEO (financial strategy), EA (expenses, travel), CTO (vendor costs), Sales (contract structure), outside counsel</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Alfred Lin (Sequoia, ex-Zappos COO), the Head of Finance from a YC company who has done this exact job at this exact stage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11</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Community &amp; Culture Builder</w:t>
            </w:r>
          </w:p>
          <w:p>
            <w:pPr>
              <w:spacing w:before="20"/>
            </w:pPr>
            <w:r>
              <w:rPr>
                <w:rFonts w:ascii="Arial" w:cs="Arial" w:eastAsia="Arial" w:hAnsi="Arial"/>
                <w:i/>
                <w:iCs/>
                <w:color w:val="777777"/>
                <w:sz w:val="17"/>
                <w:szCs w:val="17"/>
              </w:rPr>
              <w:t xml:space="preserve">Builds the movement from the ground up</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BA in anything. Track record &gt; degree. 4–7 years. Built community for a brand or movement from scratch.</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Community-first brand building, cultural partnerships, IRL events, membership design, Founding Voices/ambassador programs, social media as cultural expression, grassroots organizing</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A culturally relevant brand’s community team (Nike, Kith, Supreme), community-driven startup early days (Peloton, CrossFit, SoulCycle), cultural marketing agency (Translation, Cashmere), grassroots organizing, or membership community (Soho House early team)</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Instagram, TikTok, X, Discord/Geneva, Notion, Eventbrite/Partiful, Mailchimp/Beehiiv, Canva, their phone and their network</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Culture IS the infrastructure. Without this from day one, SAINTE launches as another health app and dies. Builds: first Founding Voices, first Drop, first Chapter events, social presence, and cultural partnership pipeline. Makes people feel like they discovered something nobody else knows about yet. Also does: social content (creates it themselves), event production (books venue, manages guest list, handles music), outreach, and partnership development.</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CEO</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Community Launch Strategy — first members, how invited, first experience, growth from 10 to 1,000 without losing integrity.</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Founding Voices Program v1.0 — ID, vet, onboard first cultural figures. Each has a brief: who, what they represent, SAINTE connection, role in launch.</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Drop Operations v1.0 — invite-only access: who first, how invitations work, Slow Reveal, scarcity without exclusion.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Cultural Partnership Pipeline — tracked across all 13 categories. Status, owner, next action, type.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First Chapter Events (3–5) — venue, guest list, programming, music, photo, post-event content. Private, elevated.</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Social Content Calendar — weekly across Instagram, TikTok, X. Organic, credible, never corporate.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Community Feedback Loop — weekly summary to CEO, Product, Creative: what community is saying, feeling, wanting.</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Membership Metrics — size, engagement, events, Founding Voices, social growth, health.</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Event Recaps — photos, moments, attendance, feedback. Content assets AND enterprise proof points.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Partnership One-Pagers — per potential partner: who, alignment, engagement type, mutual value.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Community Guidelines v1.0 — cultural norms, not platform policies.</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Morning: social media — respond, post, capture moments. Review DMs from potential Founding Voices.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Midday: event planning — venue, guest list, programming.</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Afternoon: coffee with potential Founding Voice. Explore partnership.</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End of day: CEO debrief on signals, partnerships. Write weekly summary.</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CEO (cultural vision, partnerships), Designer (content assets, event design), Product/Conv Designer (community → product), Sales (community as enterprise proof)</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Tremaine Emory (Denim Tears — community as identity), Emily Oberg (Sporty &amp; Rich — community-first from zero), Bailey Richardson (Instagram early community, Get Together)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12</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AI Ethics &amp; Human-Centered Design Lead</w:t>
            </w:r>
          </w:p>
          <w:p>
            <w:pPr>
              <w:spacing w:before="20"/>
            </w:pPr>
            <w:r>
              <w:rPr>
                <w:rFonts w:ascii="Arial" w:cs="Arial" w:eastAsia="Arial" w:hAnsi="Arial"/>
                <w:i/>
                <w:iCs/>
                <w:color w:val="777777"/>
                <w:sz w:val="17"/>
                <w:szCs w:val="17"/>
              </w:rPr>
              <w:t xml:space="preserve">The moral architecture of the company</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MS or PhD in HCI, AI Ethics, Responsible AI, Design Ethics, or combination (HCI + philosophy, Info Science + algorithmic fairness + participatory design)</w:t>
      </w:r>
    </w:p>
    <w:p>
      <w:pPr>
        <w:spacing w:after="50" w:line="260"/>
        <w:ind w:left="200"/>
      </w:pPr>
      <w:r>
        <w:rPr>
          <w:rFonts w:ascii="Arial" w:cs="Arial" w:eastAsia="Arial" w:hAnsi="Arial"/>
          <w:b/>
          <w:bCs/>
          <w:color w:val="E94560"/>
          <w:sz w:val="19"/>
          <w:szCs w:val="19"/>
        </w:rPr>
        <w:t xml:space="preserve">Experience: </w:t>
      </w:r>
      <w:r>
        <w:rPr>
          <w:rFonts w:ascii="Arial" w:cs="Arial" w:eastAsia="Arial" w:hAnsi="Arial"/>
          <w:color w:val="333333"/>
          <w:sz w:val="19"/>
          <w:szCs w:val="19"/>
        </w:rPr>
        <w:t xml:space="preserve">5–8 years at intersection of AI development and ethical/human-centered design; 2+ embedded in a product team. Experience with vulnerable/marginalized populations. Understands “human-centered” for a Medicaid recipient navigating shame ≠ “human-centered” for a knowledge worker.</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Responsible AI frameworks, participatory design with marginalized communities, AI dependency/attachment ethics, algorithmic fairness in health/social services, consent for sensitive data, trauma-informed AI, anti-surveillance design</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Microsoft AETHER, Google DeepMind Ethics, Partnership on AI, Data &amp; Society, AI Now Institute, Woebot (responsible clinical AI), or academic HCI/ethics lab (Stanford HAI, MIT Media Lab, CMU HCII). Must have applied experience.</w:t>
      </w:r>
    </w:p>
    <w:p>
      <w:pPr>
        <w:spacing w:after="50" w:line="260"/>
        <w:ind w:left="200"/>
      </w:pPr>
      <w:r>
        <w:rPr>
          <w:rFonts w:ascii="Arial" w:cs="Arial" w:eastAsia="Arial" w:hAnsi="Arial"/>
          <w:b/>
          <w:bCs/>
          <w:color w:val="E94560"/>
          <w:sz w:val="19"/>
          <w:szCs w:val="19"/>
        </w:rPr>
        <w:t xml:space="preserve">Tools: </w:t>
      </w:r>
      <w:r>
        <w:rPr>
          <w:rFonts w:ascii="Arial" w:cs="Arial" w:eastAsia="Arial" w:hAnsi="Arial"/>
          <w:color w:val="333333"/>
          <w:sz w:val="19"/>
          <w:szCs w:val="19"/>
        </w:rPr>
        <w:t xml:space="preserve">Figma (participatory design), Miro (ethical mapping), Deon (ethics checklist), model cards, datasheets for datasets, consent flow tools, qualitative research tools (Dovetail, Atlas.ti)</w:t>
      </w:r>
    </w:p>
    <w:p>
      <w:pPr>
        <w:spacing w:after="50" w:line="260"/>
        <w:ind w:left="200"/>
      </w:pPr>
      <w:r>
        <w:rPr>
          <w:rFonts w:ascii="Arial" w:cs="Arial" w:eastAsia="Arial" w:hAnsi="Arial"/>
          <w:b/>
          <w:bCs/>
          <w:color w:val="E94560"/>
          <w:sz w:val="19"/>
          <w:szCs w:val="19"/>
        </w:rPr>
        <w:t xml:space="preserve">Certifications: </w:t>
      </w:r>
      <w:r>
        <w:rPr>
          <w:rFonts w:ascii="Arial" w:cs="Arial" w:eastAsia="Arial" w:hAnsi="Arial"/>
          <w:color w:val="333333"/>
          <w:sz w:val="19"/>
          <w:szCs w:val="19"/>
        </w:rPr>
        <w:t xml:space="preserve">Published at FAccT, AIES, CHI, or CSCW on AI ethics or responsible AI. Bonus: CBPR training, trauma-informed care.</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SAINTE handles voice recordings, shame disclosures, behavioral data, health info, financial vulnerability, location, and children’s data. Potential for harm is enormous. This person ensures the company does what it claims: autonomy not dependency, safety not surveillance, trust not extraction. Sits in every product review: “this feature creates dependency risk — here’s the redesign.” Designs consent flows. Defines what Siani should never do. Defines what data should never be used for. Moral architecture. Also gives investors and enterprise buyers confidence ethics is operational, not PR.</w:t>
      </w:r>
    </w:p>
    <w:p>
      <w:pPr>
        <w:spacing w:after="50" w:line="260"/>
        <w:ind w:left="200"/>
      </w:pPr>
      <w:r>
        <w:rPr>
          <w:rFonts w:ascii="Arial" w:cs="Arial" w:eastAsia="Arial" w:hAnsi="Arial"/>
          <w:b/>
          <w:bCs/>
          <w:color w:val="E94560"/>
          <w:sz w:val="19"/>
          <w:szCs w:val="19"/>
        </w:rPr>
        <w:t xml:space="preserve">Reports to: </w:t>
      </w:r>
      <w:r>
        <w:rPr>
          <w:rFonts w:ascii="Arial" w:cs="Arial" w:eastAsia="Arial" w:hAnsi="Arial"/>
          <w:color w:val="333333"/>
          <w:sz w:val="19"/>
          <w:szCs w:val="19"/>
        </w:rPr>
        <w:t xml:space="preserve">CEO (not buried under engineering or legal)</w:t>
      </w:r>
    </w:p>
    <w:p>
      <w:pPr>
        <w:spacing w:after="40" w:before="100"/>
        <w:ind w:left="200"/>
      </w:pPr>
      <w:r>
        <w:rPr>
          <w:rFonts w:ascii="Arial" w:cs="Arial" w:eastAsia="Arial" w:hAnsi="Arial"/>
          <w:b/>
          <w:bCs/>
          <w:color w:val="0F3460"/>
          <w:sz w:val="19"/>
          <w:szCs w:val="19"/>
        </w:rPr>
        <w:t xml:space="preserve">Specific Deliverables &amp; Artifacts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SAINTE Ethical AI Framework v1.0 — autonomy over dependency, presence over surveillance, trust over extraction, dignity over efficiency. Operationalized rules, not abstract values.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Anti-Dependency Protocol — engagement thresholds, dependency warning signals, intervention triggers, design constraints ensuring interactions build capacity not reliance.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Consent Architecture — voice recording, behavioral data, ambient channels, child/teen (COPPA), enterprise data sharing. Plain language, opt-in/out, retroactive withdrawal.</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AI Behavior Boundaries Spec — what Siani will NEVER do, what Crew will NEVER do, what data will NEVER be used for. Hard constraints shared with engineering as non-negotiable requirements.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Participatory Design Program — ongoing co-design with community members (actual Medicaid recipients, justice-involved individuals). Compensated. Not a focus group.</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Ethical Review Checklist for Every Feature — dependency risk, surveillance risk, consent adequacy, cultural harm, data minimization, vulnerable population impact. Signs off before engineering begins.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Algorithmic Fairness Assessment — ensures Signal Score, engine routing, Crew recommendations don’t disadvantage specific populations.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Child Safety Ethics Protocol — beyond COPPA: developmental appropriateness, parental transparency, anti-manipulation, ethical boundaries of AI relationships with minors.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Investor &amp; Enterprise Ethics Narrative — specific, credible explanation for decks and sales. Not “we care” — “here is exactly how our anti-dependency protocol works.”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Quarterly Ethics Audit — reviews product behavior, data practices, consent, dependency metrics against framework. Flags issues to CEO.</w:t>
      </w:r>
    </w:p>
    <w:p>
      <w:pPr>
        <w:spacing w:after="40" w:before="100"/>
        <w:ind w:left="200"/>
      </w:pPr>
      <w:r>
        <w:rPr>
          <w:rFonts w:ascii="Arial" w:cs="Arial" w:eastAsia="Arial" w:hAnsi="Arial"/>
          <w:b/>
          <w:bCs/>
          <w:color w:val="0F3460"/>
          <w:sz w:val="19"/>
          <w:szCs w:val="19"/>
        </w:rPr>
        <w:t xml:space="preserve">Daily Life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Morning: review latest PRD against ethical checklist. Flag dependency risk, write redesign recommendation.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Midday: facilitate participatory design session with community members reviewing onboarding.</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Afternoon: work with Product/Conv Designer on edge case (user returning to Siani instead of real-world relationships — what does Siani do?).</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End of day: draft consent flow for new ambient channel (smart speaker in shared home — who consents?).</w:t>
      </w:r>
    </w:p>
    <w:p>
      <w:pPr>
        <w:spacing w:after="50" w:line="260"/>
        <w:ind w:left="200"/>
      </w:pPr>
      <w:r>
        <w:rPr>
          <w:rFonts w:ascii="Arial" w:cs="Arial" w:eastAsia="Arial" w:hAnsi="Arial"/>
          <w:b/>
          <w:bCs/>
          <w:color w:val="E94560"/>
          <w:sz w:val="19"/>
          <w:szCs w:val="19"/>
        </w:rPr>
        <w:t xml:space="preserve">Works with daily: </w:t>
      </w:r>
      <w:r>
        <w:rPr>
          <w:rFonts w:ascii="Arial" w:cs="Arial" w:eastAsia="Arial" w:hAnsi="Arial"/>
          <w:color w:val="333333"/>
          <w:sz w:val="19"/>
          <w:szCs w:val="19"/>
        </w:rPr>
        <w:t xml:space="preserve">CEO (ethical direction), Product/Conv Designer (ethical review), CTO (data handling), Behavioral Scientist (research ethics, IRB), Sales (ethics narrative for buyers)</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Rumman Chowdhury (Humane Intelligence, ex-Twitter ML Ethics), Timnit Gebru (DAIR Institute), Kat Zhou (Design Ethically — human-centered design ethics applied to product)</w:t>
      </w:r>
    </w:p>
    <w:p>
      <w:r>
        <w:br w:type="page"/>
      </w:r>
    </w:p>
    <w:p>
      <w:pPr>
        <w:pBdr>
          <w:top w:val="single" w:color="8B5E3C" w:sz="3" w:space="8"/>
          <w:bottom w:val="single" w:color="8B5E3C" w:sz="3" w:space="8"/>
        </w:pBdr>
        <w:spacing w:after="100" w:before="100"/>
        <w:jc w:val="center"/>
      </w:pPr>
      <w:r>
        <w:rPr>
          <w:rFonts w:ascii="Arial" w:cs="Arial" w:eastAsia="Arial" w:hAnsi="Arial"/>
          <w:b/>
          <w:bCs/>
          <w:color w:val="8B5E3C"/>
          <w:sz w:val="28"/>
          <w:szCs w:val="28"/>
        </w:rPr>
        <w:t xml:space="preserve">PAID ADVISORS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A</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FQHC/MCO Executive Advisor</w:t>
            </w:r>
          </w:p>
          <w:p>
            <w:pPr>
              <w:spacing w:before="20"/>
            </w:pPr>
            <w:r>
              <w:rPr>
                <w:rFonts w:ascii="Arial" w:cs="Arial" w:eastAsia="Arial" w:hAnsi="Arial"/>
                <w:i/>
                <w:iCs/>
                <w:color w:val="777777"/>
                <w:sz w:val="17"/>
                <w:szCs w:val="17"/>
              </w:rPr>
              <w:t xml:space="preserve">Instant enterprise credibility + rolodex that takes years to build</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MPH, MHA, MBA, or MD with healthcare admin experience</w:t>
      </w:r>
    </w:p>
    <w:p>
      <w:pPr>
        <w:spacing w:after="50" w:line="260"/>
        <w:ind w:left="200"/>
      </w:pPr>
      <w:r>
        <w:rPr>
          <w:rFonts w:ascii="Arial" w:cs="Arial" w:eastAsia="Arial" w:hAnsi="Arial"/>
          <w:b/>
          <w:bCs/>
          <w:color w:val="E94560"/>
          <w:sz w:val="19"/>
          <w:szCs w:val="19"/>
        </w:rPr>
        <w:t xml:space="preserve">Experience: </w:t>
      </w:r>
      <w:r>
        <w:rPr>
          <w:rFonts w:ascii="Arial" w:cs="Arial" w:eastAsia="Arial" w:hAnsi="Arial"/>
          <w:color w:val="333333"/>
          <w:sz w:val="19"/>
          <w:szCs w:val="19"/>
        </w:rPr>
        <w:t xml:space="preserve">15–20+ years Medicaid managed care or community health operations; 5+ at VP+ at an MCO (UHC Community &amp; State, Centene, Molina, Anthem Medicaid) or CEO/COO of an FQHC/FQHC network. Direct experience with: Medicaid pop health, VBC contracting, HEDIS/STAR, care gap closure, CHW programs, and vendor procurement.</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Medicaid MCO operations, FQHC/CCBHC operations, population health, VBC economics, state Medicaid agency relationships, CMS compliance, health equity</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C-suite or VP at Centene, Molina, UHC Community &amp; State, Anthem Medicaid, CareSource, or AmeriHealth Caritas (MCO). OR CEO/COO of large FQHC/CCBHC (provider). OR senior at state Medicaid agency. Has SAT IN THE CHAIR of the buyer.</w:t>
      </w:r>
    </w:p>
    <w:p>
      <w:pPr>
        <w:spacing w:after="50" w:line="260"/>
        <w:ind w:left="200"/>
      </w:pPr>
      <w:r>
        <w:rPr>
          <w:rFonts w:ascii="Arial" w:cs="Arial" w:eastAsia="Arial" w:hAnsi="Arial"/>
          <w:b/>
          <w:bCs/>
          <w:color w:val="E94560"/>
          <w:sz w:val="19"/>
          <w:szCs w:val="19"/>
        </w:rPr>
        <w:t xml:space="preserve">Engagement: </w:t>
      </w:r>
      <w:r>
        <w:rPr>
          <w:rFonts w:ascii="Arial" w:cs="Arial" w:eastAsia="Arial" w:hAnsi="Arial"/>
          <w:color w:val="333333"/>
          <w:sz w:val="19"/>
          <w:szCs w:val="19"/>
        </w:rPr>
        <w:t xml:space="preserve">2–4 days/month. Attends key sales calls. Reviews materials. Makes introductions. Joins Clinical Advisory Board. Potentially converts to board seat or full-time at Series A.</w:t>
      </w:r>
    </w:p>
    <w:p>
      <w:pPr>
        <w:spacing w:after="50" w:line="260"/>
        <w:ind w:left="200"/>
      </w:pPr>
      <w:r>
        <w:rPr>
          <w:rFonts w:ascii="Arial" w:cs="Arial" w:eastAsia="Arial" w:hAnsi="Arial"/>
          <w:b/>
          <w:bCs/>
          <w:color w:val="E94560"/>
          <w:sz w:val="19"/>
          <w:szCs w:val="19"/>
        </w:rPr>
        <w:t xml:space="preserve">Compensation: </w:t>
      </w:r>
      <w:r>
        <w:rPr>
          <w:rFonts w:ascii="Arial" w:cs="Arial" w:eastAsia="Arial" w:hAnsi="Arial"/>
          <w:color w:val="333333"/>
          <w:sz w:val="19"/>
          <w:szCs w:val="19"/>
        </w:rPr>
        <w:t xml:space="preserve">$2–5K/month cash retainer + 0.25–0.5% advisory equity with standard vesting</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Does three things nobody else can: (1) validates enterprise value prop from the buyer’s chair, (2) opens doors — rolodex of MCO VPs, FQHC CEOs, state Medicaid directors, (3) instant credibility — when MCO sees “former Centene VP advises SAINTE,” conversation starts differently.</w:t>
      </w:r>
    </w:p>
    <w:p>
      <w:pPr>
        <w:spacing w:after="40" w:before="100"/>
        <w:ind w:left="200"/>
      </w:pPr>
      <w:r>
        <w:rPr>
          <w:rFonts w:ascii="Arial" w:cs="Arial" w:eastAsia="Arial" w:hAnsi="Arial"/>
          <w:b/>
          <w:bCs/>
          <w:color w:val="0F3460"/>
          <w:sz w:val="19"/>
          <w:szCs w:val="19"/>
        </w:rPr>
        <w:t xml:space="preserve">Specific Deliverables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Enterprise Value Prop Validation — pressure-tests sales narrative from buyer’s perspective. “What would actually make me sign.”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Warm Introductions (6–12/quarter) — MCO decision-makers, FQHC network leaders, state Medicaid officials.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Pricing &amp; Contracting Review — validates $25–30 PMPM, VBC bonus structures, contract terms.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RFP/Procurement Guidance — how MCO procurement actually works: who approves, timeline, evidence needed, deal killers.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Clinical Advisory Board Anchor — anchor member, recruits others from network.</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Investor Reference — available for calls to validate market opportunity.</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Sarah London (Centene CEO), Tom Van Coverden (ex-NACHC CEO), a recently retired VP Population Health from a major Medicaid MCO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B</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Public Health Advisor</w:t>
            </w:r>
          </w:p>
          <w:p>
            <w:pPr>
              <w:spacing w:before="20"/>
            </w:pPr>
            <w:r>
              <w:rPr>
                <w:rFonts w:ascii="Arial" w:cs="Arial" w:eastAsia="Arial" w:hAnsi="Arial"/>
                <w:i/>
                <w:iCs/>
                <w:color w:val="777777"/>
                <w:sz w:val="17"/>
                <w:szCs w:val="17"/>
              </w:rPr>
              <w:t xml:space="preserve">Outcomes methodology + system navigation + health equity + grants</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DrPH, PhD, or MPH in Public Health, Epidemiology, Health Policy, or Community Health. Doctoral preferred.</w:t>
      </w:r>
    </w:p>
    <w:p>
      <w:pPr>
        <w:spacing w:after="50" w:line="260"/>
        <w:ind w:left="200"/>
      </w:pPr>
      <w:r>
        <w:rPr>
          <w:rFonts w:ascii="Arial" w:cs="Arial" w:eastAsia="Arial" w:hAnsi="Arial"/>
          <w:b/>
          <w:bCs/>
          <w:color w:val="E94560"/>
          <w:sz w:val="19"/>
          <w:szCs w:val="19"/>
        </w:rPr>
        <w:t xml:space="preserve">Experience: </w:t>
      </w:r>
      <w:r>
        <w:rPr>
          <w:rFonts w:ascii="Arial" w:cs="Arial" w:eastAsia="Arial" w:hAnsi="Arial"/>
          <w:color w:val="333333"/>
          <w:sz w:val="19"/>
          <w:szCs w:val="19"/>
        </w:rPr>
        <w:t xml:space="preserve">10–15+ years public health practice or research; Medicaid populations, SDoH measurement, health equity programs, community-based interventions. Understands research methodology AND policy/systems landscape.</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SDoH measurement and intervention, health equity, Medicaid population outcomes, CHW program evaluation, health economics, public health surveillance, CMS quality measures</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CDC, state/county health department (senior role), academic school of public health with applied focus, health system pop health dept, NACHC, or public health consulting. Must have worked with Medicaid populations directly.</w:t>
      </w:r>
    </w:p>
    <w:p>
      <w:pPr>
        <w:spacing w:after="50" w:line="260"/>
        <w:ind w:left="200"/>
      </w:pPr>
      <w:r>
        <w:rPr>
          <w:rFonts w:ascii="Arial" w:cs="Arial" w:eastAsia="Arial" w:hAnsi="Arial"/>
          <w:b/>
          <w:bCs/>
          <w:color w:val="E94560"/>
          <w:sz w:val="19"/>
          <w:szCs w:val="19"/>
        </w:rPr>
        <w:t xml:space="preserve">Engagement: </w:t>
      </w:r>
      <w:r>
        <w:rPr>
          <w:rFonts w:ascii="Arial" w:cs="Arial" w:eastAsia="Arial" w:hAnsi="Arial"/>
          <w:color w:val="333333"/>
          <w:sz w:val="19"/>
          <w:szCs w:val="19"/>
        </w:rPr>
        <w:t xml:space="preserve">2–3 days/month. Heavier during grants and study design. Potentially full-time VP Public Health post-Series A.</w:t>
      </w:r>
    </w:p>
    <w:p>
      <w:pPr>
        <w:spacing w:after="50" w:line="260"/>
        <w:ind w:left="200"/>
      </w:pPr>
      <w:r>
        <w:rPr>
          <w:rFonts w:ascii="Arial" w:cs="Arial" w:eastAsia="Arial" w:hAnsi="Arial"/>
          <w:b/>
          <w:bCs/>
          <w:color w:val="E94560"/>
          <w:sz w:val="19"/>
          <w:szCs w:val="19"/>
        </w:rPr>
        <w:t xml:space="preserve">Compensation: </w:t>
      </w:r>
      <w:r>
        <w:rPr>
          <w:rFonts w:ascii="Arial" w:cs="Arial" w:eastAsia="Arial" w:hAnsi="Arial"/>
          <w:color w:val="333333"/>
          <w:sz w:val="19"/>
          <w:szCs w:val="19"/>
        </w:rPr>
        <w:t xml:space="preserve">$2–4K/month cash retainer + 0.15–0.35% advisory equity with standard vesting</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Provides: (1) outcomes methodology credibility for MCOs/peer review, (2) public health system navigation — state health depts, CMS, agencies, (3) health equity framing for funders/policymakers, (4) grant strategy — SBIR can be $250K–$1.5M.</w:t>
      </w:r>
    </w:p>
    <w:p>
      <w:pPr>
        <w:spacing w:after="40" w:before="100"/>
        <w:ind w:left="200"/>
      </w:pPr>
      <w:r>
        <w:rPr>
          <w:rFonts w:ascii="Arial" w:cs="Arial" w:eastAsia="Arial" w:hAnsi="Arial"/>
          <w:b/>
          <w:bCs/>
          <w:color w:val="0F3460"/>
          <w:sz w:val="19"/>
          <w:szCs w:val="19"/>
        </w:rPr>
        <w:t xml:space="preserve">Specific Deliverables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Outcomes Measurement Framework — aligns Signal Score and DRR with established public health measures (HEDIS, state Medicaid quality).</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Health Equity Positioning — frames SAINTE within health equity framework. Critical for grants, government, mission-driven orgs.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Grant Strategy &amp; Applications — target funding (NIH SBIR/STTR, HRSA, PCORI, state innovation waivers, foundations). Co-writes with Behavioral Scientist.</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Study Design Consultation — co-designs first outcomes study. Methodology credible to academics AND enterprise buyers.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State Health Dept Navigation — how to engage each state differently.</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CMS Quality Measure Alignment — maps SAINTE outcomes to CMS measures so MCOs can use data in quality reporting.</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Public Health Conference Strategy — APHA, AcademyHealth, NACHC, state-specific.</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Rhea Boyd (pediatrician + public health + tech), Georges Benjamin (APHA Executive Director), Tomás Aragón (CA CDPH Director), or a retired county health officer with deep Medicaid expertise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C</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Neuroscience / Polyvagal Advisor</w:t>
            </w:r>
          </w:p>
          <w:p>
            <w:pPr>
              <w:spacing w:before="20"/>
            </w:pPr>
            <w:r>
              <w:rPr>
                <w:rFonts w:ascii="Arial" w:cs="Arial" w:eastAsia="Arial" w:hAnsi="Arial"/>
                <w:i/>
                <w:iCs/>
                <w:color w:val="777777"/>
                <w:sz w:val="17"/>
                <w:szCs w:val="17"/>
              </w:rPr>
              <w:t xml:space="preserve">Highest-level scientific credibility for the neural thesis</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PhD or MD in Neuroscience, Psychiatry, or Psychophysiology. 15–20+ years. Published extensively on polyvagal theory, stress neuroscience, or affective neuroscience.</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Polyvagal theory, neuroception, autonomic nervous system regulation, stress neuroscience, trauma neurobiology, vagal tone, prosody and the nervous system</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Stephen Porges’ circle, Bessel van der Kolk’s network, Dan Siegel’s interpersonal neurobiology community, a major neuroscience department with stress/affect focus, or the clinical neuroscience world</w:t>
      </w:r>
    </w:p>
    <w:p>
      <w:pPr>
        <w:spacing w:after="50" w:line="260"/>
        <w:ind w:left="200"/>
      </w:pPr>
      <w:r>
        <w:rPr>
          <w:rFonts w:ascii="Arial" w:cs="Arial" w:eastAsia="Arial" w:hAnsi="Arial"/>
          <w:b/>
          <w:bCs/>
          <w:color w:val="E94560"/>
          <w:sz w:val="19"/>
          <w:szCs w:val="19"/>
        </w:rPr>
        <w:t xml:space="preserve">Engagement: </w:t>
      </w:r>
      <w:r>
        <w:rPr>
          <w:rFonts w:ascii="Arial" w:cs="Arial" w:eastAsia="Arial" w:hAnsi="Arial"/>
          <w:color w:val="333333"/>
          <w:sz w:val="19"/>
          <w:szCs w:val="19"/>
        </w:rPr>
        <w:t xml:space="preserve">1–2 days/month. Reviews scientific documents, provides feedback on NRI™ framework, available for key investor/enterprise meetings where neuroscience credibility matters.</w:t>
      </w:r>
    </w:p>
    <w:p>
      <w:pPr>
        <w:spacing w:after="50" w:line="260"/>
        <w:ind w:left="200"/>
      </w:pPr>
      <w:r>
        <w:rPr>
          <w:rFonts w:ascii="Arial" w:cs="Arial" w:eastAsia="Arial" w:hAnsi="Arial"/>
          <w:b/>
          <w:bCs/>
          <w:color w:val="E94560"/>
          <w:sz w:val="19"/>
          <w:szCs w:val="19"/>
        </w:rPr>
        <w:t xml:space="preserve">Compensation: </w:t>
      </w:r>
      <w:r>
        <w:rPr>
          <w:rFonts w:ascii="Arial" w:cs="Arial" w:eastAsia="Arial" w:hAnsi="Arial"/>
          <w:color w:val="333333"/>
          <w:sz w:val="19"/>
          <w:szCs w:val="19"/>
        </w:rPr>
        <w:t xml:space="preserve">$2–4K/month cash + 0.15–0.35% advisory equity with standard vesting</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Imagine Stephen Porges or someone from his circle advising SAINTE. The name recognition and scientific gravitas makes grant reviewers and MCO medical directors take notice immediately. Provides: peer review of the NRI™ framework, validation of prosody-to-nervous-system thesis, introductions to clinical neuroscience community, and the credibility halo the entire science narrative needs.</w:t>
      </w:r>
    </w:p>
    <w:p>
      <w:pPr>
        <w:spacing w:after="40" w:before="100"/>
        <w:ind w:left="200"/>
      </w:pPr>
      <w:r>
        <w:rPr>
          <w:rFonts w:ascii="Arial" w:cs="Arial" w:eastAsia="Arial" w:hAnsi="Arial"/>
          <w:b/>
          <w:bCs/>
          <w:color w:val="0F3460"/>
          <w:sz w:val="19"/>
          <w:szCs w:val="19"/>
        </w:rPr>
        <w:t xml:space="preserve">Specific Deliverables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NRI™ Framework Peer Review — reviews and validates the 9-circuit model. Ensures the neuroscience claims are defensible at the highest academic standard.</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Polyvagal Thesis Validation — confirms that SAINTE’s approach to voice prosody, relational pacing, and safety activation is grounded in current neuroscience.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Neuroscience Community Introductions — connects SAINTE to key researchers, clinical neuroscientists, and potential Clinical Advisory Board members.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Grant Review Support — reviews neuroscience sections of grant applications (NIH, NIMH). Name on advisory board strengthens applications.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Investor / Enterprise Reference — available for calls where neuroscience credibility is the question.</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Stephen Porges (Polyvagal Theory), Bessel van der Kolk (The Body Keeps the Score), Dan Siegel (interpersonal neurobiology), or a senior polyvagal/affective neuroscience researcher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D</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AI / Technical Advisor</w:t>
            </w:r>
          </w:p>
          <w:p>
            <w:pPr>
              <w:spacing w:before="20"/>
            </w:pPr>
            <w:r>
              <w:rPr>
                <w:rFonts w:ascii="Arial" w:cs="Arial" w:eastAsia="Arial" w:hAnsi="Arial"/>
                <w:i/>
                <w:iCs/>
                <w:color w:val="777777"/>
                <w:sz w:val="17"/>
                <w:szCs w:val="17"/>
              </w:rPr>
              <w:t xml:space="preserve">Architecture review, recruiting credibility, investor confidence</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PhD in CS/ML from a top lab. Currently at or recently from a frontier AI company or research lab.</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LLM architecture, multi-agent systems, real-time inference, voice AI, responsible AI development, ML infrastructure at scale</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OpenAI, Anthropic, Google DeepMind, Meta FAIR, a top university AI lab (Stanford, CMU, MIT, Berkeley), or a high-profile AI startup in a senior technical role</w:t>
      </w:r>
    </w:p>
    <w:p>
      <w:pPr>
        <w:spacing w:after="50" w:line="260"/>
        <w:ind w:left="200"/>
      </w:pPr>
      <w:r>
        <w:rPr>
          <w:rFonts w:ascii="Arial" w:cs="Arial" w:eastAsia="Arial" w:hAnsi="Arial"/>
          <w:b/>
          <w:bCs/>
          <w:color w:val="E94560"/>
          <w:sz w:val="19"/>
          <w:szCs w:val="19"/>
        </w:rPr>
        <w:t xml:space="preserve">Engagement: </w:t>
      </w:r>
      <w:r>
        <w:rPr>
          <w:rFonts w:ascii="Arial" w:cs="Arial" w:eastAsia="Arial" w:hAnsi="Arial"/>
          <w:color w:val="333333"/>
          <w:sz w:val="19"/>
          <w:szCs w:val="19"/>
        </w:rPr>
        <w:t xml:space="preserve">1–2 days/month. Architecture reviews, recruiting support, investor technical diligence calls.</w:t>
      </w:r>
    </w:p>
    <w:p>
      <w:pPr>
        <w:spacing w:after="50" w:line="260"/>
        <w:ind w:left="200"/>
      </w:pPr>
      <w:r>
        <w:rPr>
          <w:rFonts w:ascii="Arial" w:cs="Arial" w:eastAsia="Arial" w:hAnsi="Arial"/>
          <w:b/>
          <w:bCs/>
          <w:color w:val="E94560"/>
          <w:sz w:val="19"/>
          <w:szCs w:val="19"/>
        </w:rPr>
        <w:t xml:space="preserve">Compensation: </w:t>
      </w:r>
      <w:r>
        <w:rPr>
          <w:rFonts w:ascii="Arial" w:cs="Arial" w:eastAsia="Arial" w:hAnsi="Arial"/>
          <w:color w:val="333333"/>
          <w:sz w:val="19"/>
          <w:szCs w:val="19"/>
        </w:rPr>
        <w:t xml:space="preserve">$2–4K/month cash + 0.25–0.5% advisory equity with standard vesting</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Not a trophy name. Someone who actually reviews the technical architecture and helps recruit. Engineers want to work where serious AI people advise. Investors gain confidence on technical approach. Provides reality-check on multi-engine orchestration, voice pipeline, and whether the technical vision is achievable with the current team and timeline.</w:t>
      </w:r>
    </w:p>
    <w:p>
      <w:pPr>
        <w:spacing w:after="40" w:before="100"/>
        <w:ind w:left="200"/>
      </w:pPr>
      <w:r>
        <w:rPr>
          <w:rFonts w:ascii="Arial" w:cs="Arial" w:eastAsia="Arial" w:hAnsi="Arial"/>
          <w:b/>
          <w:bCs/>
          <w:color w:val="0F3460"/>
          <w:sz w:val="19"/>
          <w:szCs w:val="19"/>
        </w:rPr>
        <w:t xml:space="preserve">Specific Deliverables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Technical Architecture Review (quarterly) — reviews CTO’s architecture decisions, flags risks, validates approach.</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Recruiting Support — helps source and evaluate senior engineering candidates. Their name on the advisory board attracts top talent.</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Investor Technical Diligence — available for calls where investors want to validate the AI architecture with someone credible.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Multi-Engine Orchestration Guidance — advises on the 25+ engine parallel architecture. Is it achievable? What are the hard problems?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Voice AI Pipeline Review — validates the &lt;1100ms latency budget and component selection.</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Someone senior from Anthropic, OpenAI research, Google DeepMind, or a respected AI lab — not as a logo, but as someone who actually engages with the technical 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E</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Cultural / Entertainment Industry Advisor</w:t>
            </w:r>
          </w:p>
          <w:p>
            <w:pPr>
              <w:spacing w:before="20"/>
            </w:pPr>
            <w:r>
              <w:rPr>
                <w:rFonts w:ascii="Arial" w:cs="Arial" w:eastAsia="Arial" w:hAnsi="Arial"/>
                <w:i/>
                <w:iCs/>
                <w:color w:val="777777"/>
                <w:sz w:val="17"/>
                <w:szCs w:val="17"/>
              </w:rPr>
              <w:t xml:space="preserve">Opens doors to athletes, artists, and cultural figures</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Irrelevant. Network and track record are everything.</w:t>
      </w:r>
    </w:p>
    <w:p>
      <w:pPr>
        <w:spacing w:after="50" w:line="260"/>
        <w:ind w:left="200"/>
      </w:pPr>
      <w:r>
        <w:rPr>
          <w:rFonts w:ascii="Arial" w:cs="Arial" w:eastAsia="Arial" w:hAnsi="Arial"/>
          <w:b/>
          <w:bCs/>
          <w:color w:val="E94560"/>
          <w:sz w:val="19"/>
          <w:szCs w:val="19"/>
        </w:rPr>
        <w:t xml:space="preserve">Experience: </w:t>
      </w:r>
      <w:r>
        <w:rPr>
          <w:rFonts w:ascii="Arial" w:cs="Arial" w:eastAsia="Arial" w:hAnsi="Arial"/>
          <w:color w:val="333333"/>
          <w:sz w:val="19"/>
          <w:szCs w:val="19"/>
        </w:rPr>
        <w:t xml:space="preserve">15+ years in sports, entertainment, music, or fashion at executive or agent/manager level. Has built businesses around athletes or artists. Understands the intersection of cultural influence and business.</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Athlete/artist business development, cultural brand partnerships, talent management, entertainment industry deal-making, sports marketing</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Roc Nation, CAA/WME/UTA (talent agency), SpringHill Company, Thirty Five Ventures, Atom Factory/Cross Culture, a major sports agency, or an entertainment company where they managed cultural partnerships at scale</w:t>
      </w:r>
    </w:p>
    <w:p>
      <w:pPr>
        <w:spacing w:after="50" w:line="260"/>
        <w:ind w:left="200"/>
      </w:pPr>
      <w:r>
        <w:rPr>
          <w:rFonts w:ascii="Arial" w:cs="Arial" w:eastAsia="Arial" w:hAnsi="Arial"/>
          <w:b/>
          <w:bCs/>
          <w:color w:val="E94560"/>
          <w:sz w:val="19"/>
          <w:szCs w:val="19"/>
        </w:rPr>
        <w:t xml:space="preserve">Engagement: </w:t>
      </w:r>
      <w:r>
        <w:rPr>
          <w:rFonts w:ascii="Arial" w:cs="Arial" w:eastAsia="Arial" w:hAnsi="Arial"/>
          <w:color w:val="333333"/>
          <w:sz w:val="19"/>
          <w:szCs w:val="19"/>
        </w:rPr>
        <w:t xml:space="preserve">2–3 days/month. Introductions, cultural strategy counsel, attends key events with the team.</w:t>
      </w:r>
    </w:p>
    <w:p>
      <w:pPr>
        <w:spacing w:after="50" w:line="260"/>
        <w:ind w:left="200"/>
      </w:pPr>
      <w:r>
        <w:rPr>
          <w:rFonts w:ascii="Arial" w:cs="Arial" w:eastAsia="Arial" w:hAnsi="Arial"/>
          <w:b/>
          <w:bCs/>
          <w:color w:val="E94560"/>
          <w:sz w:val="19"/>
          <w:szCs w:val="19"/>
        </w:rPr>
        <w:t xml:space="preserve">Compensation: </w:t>
      </w:r>
      <w:r>
        <w:rPr>
          <w:rFonts w:ascii="Arial" w:cs="Arial" w:eastAsia="Arial" w:hAnsi="Arial"/>
          <w:color w:val="333333"/>
          <w:sz w:val="19"/>
          <w:szCs w:val="19"/>
        </w:rPr>
        <w:t xml:space="preserve">$2–5K/month cash + 0.25–0.5% advisory equity with standard vesting</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Opens doors to athletes, artists, and cultural figures for the Founding Voices program and cultural partnership ecosystem. Introduces SAINTE to the right people in the right rooms. Validates the cultural strategy. Their endorsement signals to the entertainment/sports world that SAINTE is serious and credible. Without someone like this, building cultural partnerships takes years of cold outreach. With them, it takes a phone call.</w:t>
      </w:r>
    </w:p>
    <w:p>
      <w:pPr>
        <w:spacing w:after="40" w:before="100"/>
        <w:ind w:left="200"/>
      </w:pPr>
      <w:r>
        <w:rPr>
          <w:rFonts w:ascii="Arial" w:cs="Arial" w:eastAsia="Arial" w:hAnsi="Arial"/>
          <w:b/>
          <w:bCs/>
          <w:color w:val="0F3460"/>
          <w:sz w:val="19"/>
          <w:szCs w:val="19"/>
        </w:rPr>
        <w:t xml:space="preserve">Specific Deliverables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Founding Voices Introductions (3–6 per quarter) — warm introductions to athletes, artists, cultural figures who align with SAINTE’s identity.</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Cultural Strategy Validation — reviews the cultural partnership ecosystem plan. “This will resonate in the sports world because...” or “This approach won’t work with artists because...”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Partnership Deal Structure Guidance — how cultural partnerships are structured in sports/entertainment. What talent expects. What agents negotiate. What works.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Event + Room Access — gets SAINTE into rooms where cultural deals happen: dinners, conferences, private events.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Cap Table Recruiting — identifies athletes/cultural figures who should invest in SAINTE. Makes the introduction.</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Rich Kleiman (Thirty Five Ventures — KD’s business empire), Troy Carter (Atom Factory/Cross Culture — Lady Gaga mgmt to tech investing), Maverick Carter (SpringHill — LeBron’s media business), or a respected sports agent/entertainment exec with a deep network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F</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Legal / Regulatory Advisor (Healthcare + AI)</w:t>
            </w:r>
          </w:p>
          <w:p>
            <w:pPr>
              <w:spacing w:before="20"/>
            </w:pPr>
            <w:r>
              <w:rPr>
                <w:rFonts w:ascii="Arial" w:cs="Arial" w:eastAsia="Arial" w:hAnsi="Arial"/>
                <w:i/>
                <w:iCs/>
                <w:color w:val="777777"/>
                <w:sz w:val="17"/>
                <w:szCs w:val="17"/>
              </w:rPr>
              <w:t xml:space="preserve">Regulatory navigation without a full-time GC at pre-seed</w:t>
            </w:r>
          </w:p>
        </w:tc>
      </w:tr>
    </w:tbl>
    <w:p>
      <w:pPr>
        <w:spacing w:after="10" w:before="10"/>
      </w:pPr>
    </w:p>
    <w:p>
      <w:pPr>
        <w:spacing w:after="50" w:line="260"/>
        <w:ind w:left="200"/>
      </w:pPr>
      <w:r>
        <w:rPr>
          <w:rFonts w:ascii="Arial" w:cs="Arial" w:eastAsia="Arial" w:hAnsi="Arial"/>
          <w:b/>
          <w:bCs/>
          <w:color w:val="E94560"/>
          <w:sz w:val="19"/>
          <w:szCs w:val="19"/>
        </w:rPr>
        <w:t xml:space="preserve">Degree: </w:t>
      </w:r>
      <w:r>
        <w:rPr>
          <w:rFonts w:ascii="Arial" w:cs="Arial" w:eastAsia="Arial" w:hAnsi="Arial"/>
          <w:color w:val="333333"/>
          <w:sz w:val="19"/>
          <w:szCs w:val="19"/>
        </w:rPr>
        <w:t xml:space="preserve">JD with healthcare law specialization. 15+ years.</w:t>
      </w:r>
    </w:p>
    <w:p>
      <w:pPr>
        <w:spacing w:after="50" w:line="260"/>
        <w:ind w:left="200"/>
      </w:pPr>
      <w:r>
        <w:rPr>
          <w:rFonts w:ascii="Arial" w:cs="Arial" w:eastAsia="Arial" w:hAnsi="Arial"/>
          <w:b/>
          <w:bCs/>
          <w:color w:val="E94560"/>
          <w:sz w:val="19"/>
          <w:szCs w:val="19"/>
        </w:rPr>
        <w:t xml:space="preserve">Specialization: </w:t>
      </w:r>
      <w:r>
        <w:rPr>
          <w:rFonts w:ascii="Arial" w:cs="Arial" w:eastAsia="Arial" w:hAnsi="Arial"/>
          <w:color w:val="333333"/>
          <w:sz w:val="19"/>
          <w:szCs w:val="19"/>
        </w:rPr>
        <w:t xml:space="preserve">HIPAA compliance, FDA digital health guidance, FTC AI enforcement, state Medicaid regulations, emerging AI regulation (EU AI Act, state AI bills), healthcare enterprise contracting, BAA structuring</w:t>
      </w:r>
    </w:p>
    <w:p>
      <w:pPr>
        <w:spacing w:after="50" w:line="260"/>
        <w:ind w:left="200"/>
      </w:pPr>
      <w:r>
        <w:rPr>
          <w:rFonts w:ascii="Arial" w:cs="Arial" w:eastAsia="Arial" w:hAnsi="Arial"/>
          <w:b/>
          <w:bCs/>
          <w:color w:val="E94560"/>
          <w:sz w:val="19"/>
          <w:szCs w:val="19"/>
        </w:rPr>
        <w:t xml:space="preserve">Came from: </w:t>
      </w:r>
      <w:r>
        <w:rPr>
          <w:rFonts w:ascii="Arial" w:cs="Arial" w:eastAsia="Arial" w:hAnsi="Arial"/>
          <w:color w:val="333333"/>
          <w:sz w:val="19"/>
          <w:szCs w:val="19"/>
        </w:rPr>
        <w:t xml:space="preserve">Hogan Lovells, Cooley, Goodwin, Mintz, or a boutique health tech law firm. Must have guided startups through HIPAA, FDA, and enterprise contracting specifically. Or in-house at a digital health company that navigated these issues.</w:t>
      </w:r>
    </w:p>
    <w:p>
      <w:pPr>
        <w:spacing w:after="50" w:line="260"/>
        <w:ind w:left="200"/>
      </w:pPr>
      <w:r>
        <w:rPr>
          <w:rFonts w:ascii="Arial" w:cs="Arial" w:eastAsia="Arial" w:hAnsi="Arial"/>
          <w:b/>
          <w:bCs/>
          <w:color w:val="E94560"/>
          <w:sz w:val="19"/>
          <w:szCs w:val="19"/>
        </w:rPr>
        <w:t xml:space="preserve">Engagement: </w:t>
      </w:r>
      <w:r>
        <w:rPr>
          <w:rFonts w:ascii="Arial" w:cs="Arial" w:eastAsia="Arial" w:hAnsi="Arial"/>
          <w:color w:val="333333"/>
          <w:sz w:val="19"/>
          <w:szCs w:val="19"/>
        </w:rPr>
        <w:t xml:space="preserve">2–4 days/month. Heavier during enterprise contracting and fundraising. May convert to General Counsel post-Series A.</w:t>
      </w:r>
    </w:p>
    <w:p>
      <w:pPr>
        <w:spacing w:after="50" w:line="260"/>
        <w:ind w:left="200"/>
      </w:pPr>
      <w:r>
        <w:rPr>
          <w:rFonts w:ascii="Arial" w:cs="Arial" w:eastAsia="Arial" w:hAnsi="Arial"/>
          <w:b/>
          <w:bCs/>
          <w:color w:val="E94560"/>
          <w:sz w:val="19"/>
          <w:szCs w:val="19"/>
        </w:rPr>
        <w:t xml:space="preserve">Compensation: </w:t>
      </w:r>
      <w:r>
        <w:rPr>
          <w:rFonts w:ascii="Arial" w:cs="Arial" w:eastAsia="Arial" w:hAnsi="Arial"/>
          <w:color w:val="333333"/>
          <w:sz w:val="19"/>
          <w:szCs w:val="19"/>
        </w:rPr>
        <w:t xml:space="preserve">$3–5K/month retainer + 0.15–0.25% advisory equity (or hourly retainer depending on preference)</w:t>
      </w:r>
    </w:p>
    <w:p>
      <w:pPr>
        <w:pBdr>
          <w:left w:val="single" w:color="E94560" w:sz="4" w:space="8"/>
        </w:pBdr>
        <w:spacing w:after="60" w:before="60" w:line="260"/>
        <w:ind w:left="200"/>
      </w:pPr>
      <w:r>
        <w:rPr>
          <w:rFonts w:ascii="Arial" w:cs="Arial" w:eastAsia="Arial" w:hAnsi="Arial"/>
          <w:b/>
          <w:bCs/>
          <w:color w:val="E94560"/>
          <w:sz w:val="18"/>
          <w:szCs w:val="18"/>
        </w:rPr>
        <w:t xml:space="preserve">Why SAINTE: </w:t>
      </w:r>
      <w:r>
        <w:rPr>
          <w:rFonts w:ascii="Arial" w:cs="Arial" w:eastAsia="Arial" w:hAnsi="Arial"/>
          <w:color w:val="444444"/>
          <w:sz w:val="18"/>
          <w:szCs w:val="18"/>
        </w:rPr>
        <w:t xml:space="preserve">SAINTE operates in HIPAA, COPPA, FDA, FTC, FAR/DFAR, GDPR/CCPA, and emerging AI regulation simultaneously. A full-time GC at pre-seed is a luxury hire. This advisor provides: BAA review and structuring, HIPAA compliance architecture guidance, enterprise contract review, regulatory risk flagging, AI regulatory landscape monitoring, and investor-grade legal positioning — at a fraction of the cost of in-house counsel.</w:t>
      </w:r>
    </w:p>
    <w:p>
      <w:pPr>
        <w:spacing w:after="40" w:before="100"/>
        <w:ind w:left="200"/>
      </w:pPr>
      <w:r>
        <w:rPr>
          <w:rFonts w:ascii="Arial" w:cs="Arial" w:eastAsia="Arial" w:hAnsi="Arial"/>
          <w:b/>
          <w:bCs/>
          <w:color w:val="0F3460"/>
          <w:sz w:val="19"/>
          <w:szCs w:val="19"/>
        </w:rPr>
        <w:t xml:space="preserve">Specific Deliverables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HIPAA Compliance Architecture Review — reviews the CTO’s infrastructure and the Ops Lead’s organizational compliance checklist. Flags gaps before they become problems.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BAA Template &amp; Review — provides BAA template for enterprise contracts. Reviews each BAA before execution.</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Enterprise Contract Review — reviews enterprise sales contracts, pilot agreements, and partnership agreements. Flags risks. Suggests terms.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Regulatory Risk Assessment (quarterly) — updates on HIPAA enforcement, FDA digital health guidance, FTC AI actions, state-level AI regulation, and COPPA developments that affect SAINTE.</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AI Regulatory Landscape Brief — monitors emerging AI regulation and advises on compliance positioning. EU AI Act implications, state AI transparency bills, etc.</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Investor Legal Positioning — ensures corporate structure, IP assignment, and regulatory posture are investor-grade. Reviews data room legal documents.</w:t>
      </w:r>
    </w:p>
    <w:p>
      <w:pPr>
        <w:spacing w:after="30" w:line="250"/>
        <w:ind w:left="48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Privacy Policy &amp; Terms Review — reviews consumer-facing privacy policy and terms of service. Ensures they’re compliant and not a liability.</w:t>
      </w:r>
    </w:p>
    <w:p>
      <w:pPr>
        <w:pBdr>
          <w:left w:val="single" w:color="D4A853" w:sz="4" w:space="8"/>
        </w:pBdr>
        <w:spacing w:after="40" w:before="60" w:line="260"/>
        <w:ind w:left="200"/>
      </w:pPr>
      <w:r>
        <w:rPr>
          <w:rFonts w:ascii="Arial" w:cs="Arial" w:eastAsia="Arial" w:hAnsi="Arial"/>
          <w:b/>
          <w:bCs/>
          <w:color w:val="D4A853"/>
          <w:sz w:val="18"/>
          <w:szCs w:val="18"/>
        </w:rPr>
        <w:t xml:space="preserve">Think: </w:t>
      </w:r>
      <w:r>
        <w:rPr>
          <w:rFonts w:ascii="Arial" w:cs="Arial" w:eastAsia="Arial" w:hAnsi="Arial"/>
          <w:i/>
          <w:iCs/>
          <w:color w:val="666666"/>
          <w:sz w:val="18"/>
          <w:szCs w:val="18"/>
        </w:rPr>
        <w:t xml:space="preserve">A partner at Cooley or Goodwin who has guided health tech startups through HIPAA + FDA + enterprise contracting, or former in-house counsel at a digital health company (Hims, Ro, Cerebral, Woebot) who navigated these exact regulatory domains</w:t>
      </w:r>
    </w:p>
    <w:p>
      <w:r>
        <w:br w:type="page"/>
      </w:r>
    </w:p>
    <w:p>
      <w:pPr>
        <w:spacing w:after="40" w:before="40"/>
      </w:pPr>
    </w:p>
    <w:p>
      <w:pPr>
        <w:spacing w:after="40"/>
        <w:jc w:val="center"/>
      </w:pPr>
      <w:r>
        <w:rPr>
          <w:rFonts w:ascii="Arial" w:cs="Arial" w:eastAsia="Arial" w:hAnsi="Arial"/>
          <w:b/>
          <w:bCs/>
          <w:color w:val="1A1A2E"/>
          <w:sz w:val="24"/>
          <w:szCs w:val="24"/>
        </w:rPr>
        <w:t xml:space="preserve">12 people + 6 advisors.</w:t>
      </w:r>
    </w:p>
    <w:p>
      <w:pPr>
        <w:spacing w:after="40"/>
        <w:jc w:val="center"/>
      </w:pPr>
      <w:r>
        <w:rPr>
          <w:rFonts w:ascii="Arial" w:cs="Arial" w:eastAsia="Arial" w:hAnsi="Arial"/>
          <w:color w:val="666666"/>
          <w:sz w:val="20"/>
          <w:szCs w:val="20"/>
        </w:rPr>
        <w:t xml:space="preserve">Build the product. Prove it works. Close the first pilot.</w:t>
      </w:r>
    </w:p>
    <w:p>
      <w:pPr>
        <w:spacing w:after="40"/>
        <w:jc w:val="center"/>
      </w:pPr>
      <w:r>
        <w:rPr>
          <w:rFonts w:ascii="Arial" w:cs="Arial" w:eastAsia="Arial" w:hAnsi="Arial"/>
          <w:color w:val="666666"/>
          <w:sz w:val="20"/>
          <w:szCs w:val="20"/>
        </w:rPr>
        <w:t xml:space="preserve">Make the culture real. Raise the seed.</w:t>
      </w:r>
    </w:p>
    <w:p>
      <w:pPr>
        <w:spacing w:after="30" w:before="30"/>
      </w:pPr>
    </w:p>
    <w:p>
      <w:pPr>
        <w:pBdr>
          <w:top w:val="single" w:color="E94560" w:sz="3" w:space="8"/>
          <w:bottom w:val="single" w:color="E94560" w:sz="3" w:space="8"/>
        </w:pBdr>
        <w:spacing w:after="60" w:before="60"/>
        <w:jc w:val="center"/>
      </w:pPr>
      <w:r>
        <w:rPr>
          <w:rFonts w:ascii="Arial" w:cs="Arial" w:eastAsia="Arial" w:hAnsi="Arial"/>
          <w:b/>
          <w:bCs/>
          <w:color w:val="E94560"/>
          <w:sz w:val="24"/>
          <w:szCs w:val="24"/>
        </w:rPr>
        <w:t xml:space="preserve">SAINTE. This is what we’re on now.</w:t>
      </w:r>
    </w:p>
    <w:sectPr>
      <w:headerReference w:type="default" r:id="rId7"/>
      <w:footerReference w:type="default" r:id="rId8"/>
      <w:pgSz w:w="12240" w:h="15840" w:orient="portrait"/>
      <w:pgMar w:top="1200" w:right="1320" w:bottom="12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E94560"/>
        <w:sz w:val="14"/>
        <w:szCs w:val="14"/>
      </w:rPr>
      <w:t xml:space="preserve">CONFIDENTIAL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b/>
        <w:bCs/>
        <w:color w:val="999999"/>
        <w:sz w:val="14"/>
        <w:szCs w:val="14"/>
      </w:rPr>
      <w:t xml:space="preserve">SAINTE TECHNOLOGIES</w:t>
    </w:r>
    <w:r>
      <w:rPr>
        <w:rFonts w:ascii="Arial" w:cs="Arial" w:eastAsia="Arial" w:hAnsi="Arial"/>
        <w:color w:val="999999"/>
        <w:sz w:val="14"/>
        <w:szCs w:val="14"/>
      </w:rPr>
      <w:t xml:space="preserve">	The Founding 12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2026-03-21T13:30:42.783Z</dcterms:created>
  <dcterms:modified xsi:type="dcterms:W3CDTF">2026-03-21T13:30:42.784Z</dcterms:modified>
</cp:coreProperties>
</file>

<file path=docProps/custom.xml><?xml version="1.0" encoding="utf-8"?>
<Properties xmlns="http://schemas.openxmlformats.org/officeDocument/2006/custom-properties" xmlns:vt="http://schemas.openxmlformats.org/officeDocument/2006/docPropsVTypes"/>
</file>