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SAINTE TECHNOLOGIES, INC.</w:t>
      </w:r>
    </w:p>
    <w:p>
      <w:pPr>
        <w:spacing w:after="6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Organizational Chart</w:t>
      </w:r>
    </w:p>
    <w:p>
      <w:pPr>
        <w:pBdr>
          <w:top w:val="single" w:color="E94560" w:sz="3" w:space="6"/>
          <w:bottom w:val="single" w:color="E94560" w:sz="3" w:space="6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V5.0 — CONFIDENTIAL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corporate tree with visual diagrams for each pillar.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SAINTE Society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EEEEEE"/>
                <w:sz w:val="18"/>
                <w:szCs w:val="18"/>
              </w:rPr>
              <w:t xml:space="preserve">Consumer Product Lines</w:t>
            </w:r>
          </w:p>
        </w:tc>
      </w:tr>
    </w:tbl>
    <w:p>
      <w:pPr>
        <w:spacing w:after="10" w:before="10"/>
      </w:pPr>
    </w:p>
    <w:p>
      <w:pPr>
        <w:spacing w:after="60" w:before="60"/>
        <w:jc w:val="center"/>
      </w:pPr>
      <w:r>
        <w:drawing>
          <wp:inline distT="0" distB="0" distL="0" distR="0">
            <wp:extent cx="3486150" cy="6667500"/>
            <wp:effectExtent t="0" r="0" b="0" l="0"/>
            <wp:docPr id="1" name="diagram" descr="Organizational chart" title="Or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SAINTE Society — Detailed Structure</w:t>
      </w:r>
    </w:p>
    <w:p>
      <w:pPr>
        <w:spacing w:after="10" w:before="10"/>
      </w:pP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Siani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Voice-first relational AI presence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Conversation Design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10 interaction modes, mirror mechanics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Voice Experience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STT, TTS, VAD, &lt;1100ms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Ambient / Multi-Channel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SMS, smart speakers, wearables, in-car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Product Design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Organic futurism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The Crew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14 specialized AI agents (canDoWithYou)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Scout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Food &amp; Resources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Haven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Housing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Maven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Benefits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Money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Forge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Employment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Guild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Trades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Spark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Entrepreneurship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Justice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Legal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Sage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Education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Hearth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Family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Mend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Healthcare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Anchor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Crisis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Wheels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Transportation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Digital Access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Society App / Community Platform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Digital membership world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Drop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Invite-only access, Founding Voices, Slow Reveal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Vault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Personal collection &amp; identity archive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Heat Index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Real-time cultural pulse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Cred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Reputation &amp; trust currency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Roles + Trust Network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Identity &amp; permissions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Marketplace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P2P commerce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Commerce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First-party DTC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Mastermind Circles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Strategic relationship infrastructure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Orbit / Constellation UX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Visual circle builder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Role Discovery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Universal contribution roles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Signal / Exchange / Activate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Three core actions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Gravity &amp; Momentum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Status-based gamification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Opportunity Capsules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Real-world opportunities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Cross-Pathway Design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Tech, trades, business, creative, education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Siani for Kids &amp; Teens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Age-adapted relational AI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Youth Conversation Design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Developmentally appropriate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Child Safety Architecture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COPPA, mandatory reporting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Family Integration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Parent dashboards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SAINTE Culture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EEEEEE"/>
                <w:sz w:val="18"/>
                <w:szCs w:val="18"/>
              </w:rPr>
              <w:t xml:space="preserve">The Reason Everything Works</w:t>
            </w:r>
          </w:p>
        </w:tc>
      </w:tr>
    </w:tbl>
    <w:p>
      <w:pPr>
        <w:spacing w:after="10" w:before="10"/>
      </w:pPr>
    </w:p>
    <w:p>
      <w:pPr>
        <w:spacing w:after="60" w:before="60"/>
        <w:jc w:val="center"/>
      </w:pPr>
      <w:r>
        <w:drawing>
          <wp:inline distT="0" distB="0" distL="0" distR="0">
            <wp:extent cx="2190750" cy="6667500"/>
            <wp:effectExtent t="0" r="0" b="0" l="0"/>
            <wp:docPr id="1" name="diagram" descr="Organizational chart" title="Or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4A853"/>
          <w:sz w:val="24"/>
          <w:szCs w:val="24"/>
        </w:rPr>
        <w:t xml:space="preserve">SAINTE Culture — Detailed Structure</w:t>
      </w:r>
    </w:p>
    <w:p>
      <w:pPr>
        <w:spacing w:after="10" w:before="10"/>
      </w:pP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D4A853"/>
          <w:sz w:val="21"/>
          <w:szCs w:val="21"/>
        </w:rPr>
        <w:t xml:space="preserve">SAINTE Creative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In-house agency / taste authority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Art Direction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Campaigns, launches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Brand Design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Typography, layouts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Photography &amp; Styling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All verticals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Brand Strategy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Positioning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Production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Shoots, budgets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D4A853"/>
          <w:sz w:val="21"/>
          <w:szCs w:val="21"/>
        </w:rPr>
        <w:t xml:space="preserve">SAINTE Studio + Publishing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Media &amp; narrative voice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Video Production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Docs, films, campaigns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Audio / Podcasts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Narrative audio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Social Content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TikTok, Reels, Shorts, X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Motion Design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Animations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Publishing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Books, zines, editorial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D4A853"/>
          <w:sz w:val="21"/>
          <w:szCs w:val="21"/>
        </w:rPr>
        <w:t xml:space="preserve">SAINTE Sound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Sonic architecture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A&amp;R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Emerging artists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Music Curation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All SAINTE spaces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Sonic Branding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Audio logos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Live Music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House events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D4A853"/>
          <w:sz w:val="21"/>
          <w:szCs w:val="21"/>
        </w:rPr>
        <w:t xml:space="preserve">SAINTE Supply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Elevated luxury streetwear + Objects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Apparel Design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Seasonal collections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Home, tech, art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Sourcing &amp; Production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Manufacturing, QA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Sustainability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Ethical sourcing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D4A853"/>
          <w:sz w:val="21"/>
          <w:szCs w:val="21"/>
        </w:rPr>
        <w:t xml:space="preserve">SAINTE House + Chapters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Physical presence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Flagship Events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Tentpole activations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Branded Spaces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Spatial + sensory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Chapters Network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City-based nodes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Community Events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Local gatherings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D4A853"/>
          <w:sz w:val="21"/>
          <w:szCs w:val="21"/>
        </w:rPr>
        <w:t xml:space="preserve">Cultural Partnership Ecosystem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13 categories × 13 engagement layers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 Sports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Thought Leader Entrepreneurs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Public Figures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Entertainment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Fashion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Music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Top Influencers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Purpose-Driven / Cause Partners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JUMP, Way.org type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Industry Leaders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Brand Partnerships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Place Partnerships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Youth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Sports, programs, creators</w:t>
      </w:r>
    </w:p>
    <w:p>
      <w:pPr>
        <w:spacing w:after="20" w:before="20"/>
      </w:pPr>
    </w:p>
    <w:p>
      <w:pPr>
        <w:pBdr>
          <w:left w:val="single" w:color="D4A853" w:sz="6" w:space="8"/>
        </w:pBdr>
        <w:spacing w:after="40" w:before="40"/>
        <w:ind w:left="360"/>
      </w:pPr>
      <w:r>
        <w:rPr>
          <w:rFonts w:ascii="Arial" w:cs="Arial" w:eastAsia="Arial" w:hAnsi="Arial"/>
          <w:b/>
          <w:bCs/>
          <w:color w:val="D4A853"/>
          <w:sz w:val="17"/>
          <w:szCs w:val="17"/>
        </w:rPr>
        <w:t xml:space="preserve">Engagement Layers: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Cap Table · Advisors · Advocates · Founding Voices · Events · Content · Co-Creation · Distribution · Resources · Talent Pipeline · Community Presence · Mastermind · Horizon Expansion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Sainte Labs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EEEEEE"/>
                <w:sz w:val="18"/>
                <w:szCs w:val="18"/>
              </w:rPr>
              <w:t xml:space="preserve">Research, Science + IP — Where Value Is Created</w:t>
            </w:r>
          </w:p>
        </w:tc>
      </w:tr>
    </w:tbl>
    <w:p>
      <w:pPr>
        <w:spacing w:after="10" w:before="10"/>
      </w:pPr>
    </w:p>
    <w:p>
      <w:pPr>
        <w:spacing w:after="60" w:before="60"/>
        <w:jc w:val="center"/>
      </w:pPr>
      <w:r>
        <w:drawing>
          <wp:inline distT="0" distB="0" distL="0" distR="0">
            <wp:extent cx="3162300" cy="6667500"/>
            <wp:effectExtent t="0" r="0" b="0" l="0"/>
            <wp:docPr id="1" name="diagram" descr="Organizational chart" title="Or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Sainte Labs — Detailed Structure</w:t>
      </w:r>
    </w:p>
    <w:p>
      <w:pPr>
        <w:spacing w:after="10" w:before="10"/>
      </w:pP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Behavioral Science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Shame, avoidance, capacity restoration, intervention design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Neuroscience &amp; NeuroRelational Intelligence™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9-circuit: Polyvagal, Dopamine, Oxytocin, Serotonergic, DMN, ACC, PFC, HPA, Hippocampus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AI &amp; ML Research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Multi-engine, multi-agent, NLP, applied AI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Multi-Engine Research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Parallel at &lt;2.9s P95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Multi-Agent Research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Crew architecture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NLP &amp; Conversation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Signal extraction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Applied AI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Research → product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Data Science &amp; Algorithms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Signal Score™, Signal Index™, SCCS, DRR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Signal Score™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T, A, R, C, 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Signal Index™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Cohort metric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SCCS Algorithm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Readiness windows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Outcome Proof Architecture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DRR, CLPPM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Intelligence Engine Architecture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25+ engines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Cognitive Engine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Momentum / Behavioral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Identity Transformation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Closure Engine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Stickiness Engine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Belonging Engine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Shame Extraction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Advanced Systems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Safety / Crisis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Pull Mechanics Research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Reverse-engineering addiction for good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Variable Reward Research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Engagement Loop Design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Anti-Dependency Research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Whole Life Graph &amp; Ontology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Survival Data Ontology, causality, Invisibility Architecture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Voice &amp; Prosody Research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Vocal biomarkers, emotionally adaptive synthesis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Conversation Science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Turn-taking, pacing, mirror mechanics, culture-coded language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Ambient Intelligence Research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Life Double: autonomous multi-channel presence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Child &amp; Adolescent Development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Developmental neuroscience, youth safety, family systems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Privacy &amp; Safety Research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Federated learning, AI safety, anti-dependency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Evidence &amp; Clinical Research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Outcomes, HEOR, IRB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Health Economics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Biostatistics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Clinical Research Ops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IP Development &amp; Patents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4 independent claims, 5-layer moat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Labs Operations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Compute, experiment tracking, research admin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4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 &amp; Engineering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EEEEEE"/>
                <w:sz w:val="18"/>
                <w:szCs w:val="18"/>
              </w:rPr>
              <w:t xml:space="preserve">Distribution Vehicles Built From Labs’ Research</w:t>
            </w:r>
          </w:p>
        </w:tc>
      </w:tr>
    </w:tbl>
    <w:p>
      <w:pPr>
        <w:spacing w:after="10" w:before="10"/>
      </w:pPr>
    </w:p>
    <w:p>
      <w:pPr>
        <w:spacing w:after="60" w:before="60"/>
        <w:jc w:val="center"/>
      </w:pPr>
      <w:r>
        <w:drawing>
          <wp:inline distT="0" distB="0" distL="0" distR="0">
            <wp:extent cx="2771775" cy="6667500"/>
            <wp:effectExtent t="0" r="0" b="0" l="0"/>
            <wp:docPr id="1" name="diagram" descr="Organizational chart" title="Or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C4B6"/>
          <w:sz w:val="24"/>
          <w:szCs w:val="24"/>
        </w:rPr>
        <w:t xml:space="preserve">Product &amp; Engineering — Detailed Structure</w:t>
      </w:r>
    </w:p>
    <w:p>
      <w:pPr>
        <w:spacing w:after="10" w:before="10"/>
      </w:pP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EC4B6"/>
          <w:sz w:val="21"/>
          <w:szCs w:val="21"/>
        </w:rPr>
        <w:t xml:space="preserve">Core Engineering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APIs, Event Bus, voice pipeline, infra, SRE, security, QA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Platform / Core APIs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Infrastructure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Backend (x6)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Frontend / Mobile (x4)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Voice Pipeline (x2)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SRE / DevOps (x2)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QA (x3)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Security (x2)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EC4B6"/>
          <w:sz w:val="21"/>
          <w:szCs w:val="21"/>
        </w:rPr>
        <w:t xml:space="preserve">Enterprise Platform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Dual-Reality Architecture™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Care Ops Dashboards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CHW Case Management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Analytics &amp; Reporting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Multi-Tenant Architecture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EC4B6"/>
          <w:sz w:val="21"/>
          <w:szCs w:val="21"/>
        </w:rPr>
        <w:t xml:space="preserve">Ambient AI / Life Double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Multi-channel autonomous presence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Smart Speakers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In-Car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Wearables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Proactive Calls + SMS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EC4B6"/>
          <w:sz w:val="21"/>
          <w:szCs w:val="21"/>
        </w:rPr>
        <w:t xml:space="preserve">Data Engineering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Production data stack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DocumentDB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VectorDB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TimeSeriesDB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UserHistoryDB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Pipelines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Quality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Analytics Eng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Sainte Solutions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EEEEEE"/>
                <w:sz w:val="18"/>
                <w:szCs w:val="18"/>
              </w:rPr>
              <w:t xml:space="preserve">Enterprise Revenue</w:t>
            </w:r>
          </w:p>
        </w:tc>
      </w:tr>
    </w:tbl>
    <w:p>
      <w:pPr>
        <w:spacing w:after="10" w:before="10"/>
      </w:pPr>
    </w:p>
    <w:p>
      <w:pPr>
        <w:spacing w:after="60" w:before="60"/>
        <w:jc w:val="center"/>
      </w:pPr>
      <w:r>
        <w:drawing>
          <wp:inline distT="0" distB="0" distL="0" distR="0">
            <wp:extent cx="3448050" cy="6667500"/>
            <wp:effectExtent t="0" r="0" b="0" l="0"/>
            <wp:docPr id="1" name="diagram" descr="Organizational chart" title="Or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7B2D8E"/>
          <w:sz w:val="24"/>
          <w:szCs w:val="24"/>
        </w:rPr>
        <w:t xml:space="preserve">Sainte Solutions — Detailed Structure</w:t>
      </w:r>
    </w:p>
    <w:p>
      <w:pPr>
        <w:spacing w:after="10" w:before="10"/>
      </w:pP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7B2D8E"/>
          <w:sz w:val="21"/>
          <w:szCs w:val="21"/>
        </w:rPr>
        <w:t xml:space="preserve">Sales Organization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CFO-aligned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Sales Dir, Healthcare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Sales Dir, Public Sector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Sales Dir, Workforce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Sales Dir, Expansion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Sales Operations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Sales Enablement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7B2D8E"/>
          <w:sz w:val="21"/>
          <w:szCs w:val="21"/>
        </w:rPr>
        <w:t xml:space="preserve">Customer Success + Implementation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Post-sale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CSMs (x4)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Implementation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Solutions Engineers (x3)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Implementation PMs (x2)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7B2D8E"/>
          <w:sz w:val="21"/>
          <w:szCs w:val="21"/>
        </w:rPr>
        <w:t xml:space="preserve">Solutions Verticals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13+ business units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Care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Payer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PRIMARY REVENUE WEDGE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Public Sector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Workforce + Benefits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Justice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Intercept 0–5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EDU + Youth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Housing + Mobility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Family Services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Data Products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Creators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Business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Global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7B2D8E"/>
          <w:sz w:val="21"/>
          <w:szCs w:val="21"/>
        </w:rPr>
        <w:t xml:space="preserve">Partnerships + Channel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Tech + channel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Sainte Network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EHR, HRIS, payer integrations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Partner Network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Consulting, SIs, resellers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Corporate / Holdings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EEEEEE"/>
                <w:sz w:val="18"/>
                <w:szCs w:val="18"/>
              </w:rPr>
              <w:t xml:space="preserve">Governance Backbone</w:t>
            </w:r>
          </w:p>
        </w:tc>
      </w:tr>
    </w:tbl>
    <w:p>
      <w:pPr>
        <w:spacing w:after="10" w:before="10"/>
      </w:pPr>
    </w:p>
    <w:p>
      <w:pPr>
        <w:spacing w:after="60" w:before="60"/>
        <w:jc w:val="center"/>
      </w:pPr>
      <w:r>
        <w:drawing>
          <wp:inline distT="0" distB="0" distL="0" distR="0">
            <wp:extent cx="1990725" cy="6667500"/>
            <wp:effectExtent t="0" r="0" b="0" l="0"/>
            <wp:docPr id="1" name="diagram" descr="Organizational chart" title="Org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Corporate / Holdings — Detailed Structure</w:t>
      </w:r>
    </w:p>
    <w:p>
      <w:pPr>
        <w:spacing w:after="10" w:before="10"/>
      </w:pP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Board of Directors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Fiduciary oversight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Board Chair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Independent Dir, Healthcare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Independent Dir, Technology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Independent Dir, Finance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CEO / Founder Seat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Katy Kelly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Investor Seat(s)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Committees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Audit, Compensation, Nom/Gov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Advisory Boards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Clinical Advisory Board (5–7)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Technical Advisory Board (3–5)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Cultural Advisory Board (3–5)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Enterprise Advisory Board (3–5)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Finance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CFO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VP Finance / Controller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FP&amp;A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Treasury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Tax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Sr. Accountant (x2)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IR Manager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Legal + Compliance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General Counsel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VP Legal, Healthcare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VP Legal, Corporate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IP Counsel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Privacy Counsel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Employment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Compliance Manager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Legal Ops (x2)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People + Talent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CPO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VP Talent Acquisition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Recruiting Lead, Technical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Recruiting Lead, Creative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Recruiting Lead, Enterprise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PeopleOps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Total Rewards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L&amp;D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Sr. HRBP (x3)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Marketing + Growth + Comms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CMO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VP Enterprise Marketing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VP Communications + PR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Content Marketing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Digital Marketing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Events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Analyst Relations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Government Relations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GR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State Regulatory Analyst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Policy Researcher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Operations + IT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VP Operations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IT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Procurement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BI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Facilities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Process Analyst (x2)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Security + Risk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CISO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Security Eng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Sr. Security Eng (x2)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IR Lead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Compliance &amp; Audit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Red Team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Corporate Development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Corp Dev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Corp Dev Analyst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Trust + Safety + Policy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Chief Trust Officer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AI Ethics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Data Governance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Sr. Policy Analyst (x2)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Sainte IP Holdings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VP IP Strategy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Trademark Manager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Licensing Manager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Sainte Foundation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Executive Director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Head of Programs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Impact Analyst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Community Engagement Lead</w:t>
      </w:r>
    </w:p>
    <w:p>
      <w:r>
        <w:br w:type="page"/>
      </w:r>
    </w:p>
    <w:p>
      <w:pPr>
        <w:spacing w:after="80" w:before="80"/>
      </w:pPr>
    </w:p>
    <w:p>
      <w:pPr>
        <w:pBdr>
          <w:top w:val="single" w:color="E94560" w:sz="3" w:space="8"/>
          <w:bottom w:val="single" w:color="E94560" w:sz="3" w:space="8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6"/>
          <w:szCs w:val="26"/>
        </w:rPr>
        <w:t xml:space="preserve">SAINTE. This is what we’re on now.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E94560"/>
        <w:sz w:val="15"/>
        <w:szCs w:val="15"/>
      </w:rPr>
      <w:t xml:space="preserve">CONFIDENTIAL</w:t>
    </w:r>
    <w:r>
      <w:rPr>
        <w:rFonts w:ascii="Arial" w:cs="Arial" w:eastAsia="Arial" w:hAnsi="Arial"/>
        <w:color w:val="999999"/>
        <w:sz w:val="15"/>
        <w:szCs w:val="15"/>
      </w:rPr>
      <w:t xml:space="preserve">	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999999"/>
        <w:sz w:val="15"/>
        <w:szCs w:val="15"/>
      </w:rPr>
      <w:t xml:space="preserve">SAINTE TECHNOLOGIES</w:t>
    </w:r>
    <w:r>
      <w:rPr>
        <w:rFonts w:ascii="Arial" w:cs="Arial" w:eastAsia="Arial" w:hAnsi="Arial"/>
        <w:color w:val="999999"/>
        <w:sz w:val="15"/>
        <w:szCs w:val="15"/>
      </w:rPr>
      <w:t xml:space="preserve">	Organizational Chart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4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81ca8ad99e8389b293925e16ece6c1da20b6e34.png"/><Relationship Id="rId10" Type="http://schemas.openxmlformats.org/officeDocument/2006/relationships/image" Target="media/65573db677727bc9f5342613483b7488e7b72a5e.png"/><Relationship Id="rId11" Type="http://schemas.openxmlformats.org/officeDocument/2006/relationships/image" Target="media/fb636ad0852273b3ebe284bb7943c422f6b4b5d6.png"/><Relationship Id="rId12" Type="http://schemas.openxmlformats.org/officeDocument/2006/relationships/image" Target="media/87208c6b2e407e007a00cf8db2f74504f5e772d3.png"/><Relationship Id="rId13" Type="http://schemas.openxmlformats.org/officeDocument/2006/relationships/image" Target="media/b0194d92ae4cc56cadd896e50bd645e74213e402.png"/><Relationship Id="rId14" Type="http://schemas.openxmlformats.org/officeDocument/2006/relationships/image" Target="media/7a6a5460ac9e4dcd6c98018c912a46aafe51a0e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2026-03-21T09:45:57.212Z</dcterms:created>
  <dcterms:modified xsi:type="dcterms:W3CDTF">2026-03-21T09:45:57.213Z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